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0456" w14:textId="4016EBD4" w:rsidR="00E203C2" w:rsidRDefault="00F61087" w:rsidP="00E203C2">
      <w:r w:rsidDel="00F61087">
        <w:t xml:space="preserve"> </w:t>
      </w:r>
      <w:r w:rsidR="00E203C2">
        <w:rPr>
          <w:noProof/>
          <w:lang w:eastAsia="en-GB" w:bidi="ar-SA"/>
        </w:rPr>
        <w:drawing>
          <wp:inline distT="0" distB="0" distL="0" distR="0" wp14:anchorId="66282DF7" wp14:editId="2E78372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4B23594" w14:textId="77777777" w:rsidR="00E203C2" w:rsidRPr="00DA631A" w:rsidRDefault="00E203C2" w:rsidP="00E203C2"/>
    <w:p w14:paraId="7A32652C" w14:textId="77777777" w:rsidR="0057615C" w:rsidRPr="0057615C" w:rsidRDefault="0057615C" w:rsidP="00690206">
      <w:pPr>
        <w:pStyle w:val="FSTitle"/>
        <w:rPr>
          <w:b/>
          <w:sz w:val="22"/>
        </w:rPr>
      </w:pPr>
      <w:bookmarkStart w:id="0" w:name="_GoBack"/>
      <w:bookmarkEnd w:id="0"/>
    </w:p>
    <w:p w14:paraId="3C3B6B65" w14:textId="01F48FC2" w:rsidR="001328DC" w:rsidRPr="003456ED" w:rsidRDefault="00092CDA" w:rsidP="001328DC">
      <w:pPr>
        <w:pStyle w:val="FSTitle"/>
      </w:pPr>
      <w:r w:rsidRPr="003456ED">
        <w:rPr>
          <w:b/>
        </w:rPr>
        <w:t>S</w:t>
      </w:r>
      <w:r w:rsidR="00B12F1E" w:rsidRPr="003456ED">
        <w:rPr>
          <w:b/>
        </w:rPr>
        <w:t>upporting document</w:t>
      </w:r>
      <w:r w:rsidRPr="003456ED">
        <w:rPr>
          <w:b/>
        </w:rPr>
        <w:t xml:space="preserve"> </w:t>
      </w:r>
      <w:r w:rsidR="008330A4" w:rsidRPr="003456ED">
        <w:rPr>
          <w:b/>
        </w:rPr>
        <w:t>1</w:t>
      </w:r>
      <w:r w:rsidR="001328DC">
        <w:rPr>
          <w:b/>
        </w:rPr>
        <w:t xml:space="preserve"> </w:t>
      </w:r>
    </w:p>
    <w:p w14:paraId="7A604DFB" w14:textId="1CBD302C" w:rsidR="00092CDA" w:rsidRPr="001D2A5D" w:rsidRDefault="00092CDA" w:rsidP="00690206">
      <w:pPr>
        <w:pStyle w:val="FSTitle"/>
        <w:rPr>
          <w:sz w:val="22"/>
          <w:szCs w:val="22"/>
        </w:rPr>
      </w:pPr>
    </w:p>
    <w:p w14:paraId="1DE3CC83" w14:textId="34DAD441" w:rsidR="00D056F1" w:rsidRDefault="003456ED" w:rsidP="00690206">
      <w:pPr>
        <w:pStyle w:val="FSTitle"/>
      </w:pPr>
      <w:r w:rsidRPr="003456ED">
        <w:t>Food technology</w:t>
      </w:r>
      <w:r w:rsidR="001328DC">
        <w:t xml:space="preserve">, </w:t>
      </w:r>
      <w:r w:rsidR="00AF7B74">
        <w:t xml:space="preserve">hazard </w:t>
      </w:r>
      <w:r w:rsidR="001328DC">
        <w:t>and dietary</w:t>
      </w:r>
      <w:r w:rsidRPr="003456ED">
        <w:t xml:space="preserve"> assessment</w:t>
      </w:r>
      <w:r w:rsidR="00D056F1" w:rsidRPr="003456ED">
        <w:t xml:space="preserve"> </w:t>
      </w:r>
      <w:r w:rsidR="000D2700">
        <w:t xml:space="preserve">report </w:t>
      </w:r>
      <w:r w:rsidR="004508F9">
        <w:rPr>
          <w:b/>
        </w:rPr>
        <w:t xml:space="preserve">- </w:t>
      </w:r>
      <w:r w:rsidR="004508F9" w:rsidRPr="003456ED">
        <w:t>Application A1161</w:t>
      </w:r>
    </w:p>
    <w:p w14:paraId="2B8EC680" w14:textId="77777777" w:rsidR="004508F9" w:rsidRPr="001D2A5D" w:rsidRDefault="004508F9" w:rsidP="00690206">
      <w:pPr>
        <w:pStyle w:val="FSTitle"/>
        <w:rPr>
          <w:sz w:val="22"/>
          <w:szCs w:val="22"/>
        </w:rPr>
      </w:pPr>
    </w:p>
    <w:p w14:paraId="1E2AF099" w14:textId="7420B2DD" w:rsidR="00D056F1" w:rsidRPr="003456ED" w:rsidRDefault="003456ED" w:rsidP="00593BE1">
      <w:pPr>
        <w:pStyle w:val="FSTitle"/>
        <w:pBdr>
          <w:bottom w:val="single" w:sz="4" w:space="1" w:color="auto"/>
        </w:pBdr>
      </w:pPr>
      <w:r w:rsidRPr="003456ED">
        <w:t>Potassium polyaspartate as a food additive in wine</w:t>
      </w:r>
    </w:p>
    <w:p w14:paraId="34D85218" w14:textId="77777777" w:rsidR="00E203C2" w:rsidRPr="00B37BF0" w:rsidRDefault="00E203C2" w:rsidP="00E203C2"/>
    <w:p w14:paraId="69D23C8E" w14:textId="77777777" w:rsidR="00092CDA" w:rsidRPr="00092CDA" w:rsidRDefault="00092CDA" w:rsidP="00352CF2">
      <w:pPr>
        <w:pStyle w:val="Heading1"/>
        <w:spacing w:before="0"/>
      </w:pPr>
      <w:bookmarkStart w:id="1" w:name="_Toc286391001"/>
      <w:bookmarkStart w:id="2" w:name="_Toc300933414"/>
      <w:bookmarkStart w:id="3" w:name="_Toc521330334"/>
      <w:bookmarkStart w:id="4" w:name="_Toc522276755"/>
      <w:bookmarkStart w:id="5" w:name="_Toc522780482"/>
      <w:bookmarkStart w:id="6" w:name="_Toc524342523"/>
      <w:r w:rsidRPr="00092CDA">
        <w:t xml:space="preserve">Executive </w:t>
      </w:r>
      <w:r w:rsidR="00B12F1E">
        <w:t>s</w:t>
      </w:r>
      <w:r w:rsidRPr="00092CDA">
        <w:t>ummary</w:t>
      </w:r>
      <w:bookmarkEnd w:id="1"/>
      <w:bookmarkEnd w:id="2"/>
      <w:bookmarkEnd w:id="3"/>
      <w:bookmarkEnd w:id="4"/>
      <w:bookmarkEnd w:id="5"/>
      <w:bookmarkEnd w:id="6"/>
    </w:p>
    <w:p w14:paraId="73102616" w14:textId="4EFF799B" w:rsidR="00513B86" w:rsidRDefault="001328DC" w:rsidP="00513B86">
      <w:r>
        <w:t xml:space="preserve">FSANZ has assessed an application from </w:t>
      </w:r>
      <w:r w:rsidR="00C86B6B">
        <w:t xml:space="preserve">Enartis Pacific Pty Ltd. </w:t>
      </w:r>
      <w:r w:rsidR="00513B86">
        <w:t xml:space="preserve">to amend the </w:t>
      </w:r>
      <w:r w:rsidR="00513B86" w:rsidRPr="00C04F2F">
        <w:t>Australia</w:t>
      </w:r>
      <w:r w:rsidR="00513B86" w:rsidRPr="001D2A5D">
        <w:t xml:space="preserve"> New Zealand Food Standards Code</w:t>
      </w:r>
      <w:r w:rsidR="00513B86">
        <w:rPr>
          <w:i/>
        </w:rPr>
        <w:t xml:space="preserve"> </w:t>
      </w:r>
      <w:r w:rsidR="00513B86">
        <w:t>(the Code) to permit the use of potassium polyaspartate as a food additive in wine at a maximum permitted level of 100</w:t>
      </w:r>
      <w:r w:rsidR="00F918A1">
        <w:t xml:space="preserve"> </w:t>
      </w:r>
      <w:r w:rsidR="00513B86">
        <w:t xml:space="preserve">mg/L. </w:t>
      </w:r>
    </w:p>
    <w:p w14:paraId="4D921E77" w14:textId="77777777" w:rsidR="00513B86" w:rsidRDefault="00513B86" w:rsidP="00513B86"/>
    <w:p w14:paraId="79A79A76" w14:textId="1BCCC031" w:rsidR="00513B86" w:rsidRDefault="00513B86" w:rsidP="00513B86">
      <w:r>
        <w:t xml:space="preserve">Potassium polyaspartate functions as a stabiliser by preventing </w:t>
      </w:r>
      <w:r w:rsidR="007A43B2">
        <w:t xml:space="preserve">the growth of potassium bitartrate </w:t>
      </w:r>
      <w:r w:rsidR="00F81602">
        <w:t>crystals in wine.</w:t>
      </w:r>
      <w:r>
        <w:t xml:space="preserve"> </w:t>
      </w:r>
    </w:p>
    <w:p w14:paraId="2DDD9BE7" w14:textId="625DA96A" w:rsidR="00513B86" w:rsidRDefault="00513B86" w:rsidP="00513B86"/>
    <w:p w14:paraId="528F1EEB" w14:textId="1AD4CED7" w:rsidR="00E9421E" w:rsidRDefault="009D58FC" w:rsidP="00E9421E">
      <w:r>
        <w:t>Based on the</w:t>
      </w:r>
      <w:r w:rsidR="007D4DDA">
        <w:t xml:space="preserve"> </w:t>
      </w:r>
      <w:r w:rsidR="00E9421E">
        <w:t>food technology assessment</w:t>
      </w:r>
      <w:r>
        <w:t>, FSANZ has</w:t>
      </w:r>
      <w:r w:rsidR="00E9421E">
        <w:t xml:space="preserve"> concluded that potassium polyaspartate</w:t>
      </w:r>
      <w:r w:rsidR="007D4DDA">
        <w:t>,</w:t>
      </w:r>
      <w:r w:rsidR="00E9421E">
        <w:t xml:space="preserve"> </w:t>
      </w:r>
      <w:r w:rsidR="007D4DDA">
        <w:t xml:space="preserve">when used </w:t>
      </w:r>
      <w:r w:rsidR="00E9421E">
        <w:t xml:space="preserve">as a food additive </w:t>
      </w:r>
      <w:r w:rsidR="007D4DDA">
        <w:t xml:space="preserve">to </w:t>
      </w:r>
      <w:r w:rsidR="00E9421E">
        <w:t xml:space="preserve">stabilise </w:t>
      </w:r>
      <w:r w:rsidR="007325A9">
        <w:t>wine</w:t>
      </w:r>
      <w:r w:rsidR="00F668B7">
        <w:t>,</w:t>
      </w:r>
      <w:r w:rsidR="007325A9">
        <w:t xml:space="preserve"> </w:t>
      </w:r>
      <w:r w:rsidR="007D4DDA">
        <w:t xml:space="preserve">is technologically justified </w:t>
      </w:r>
      <w:r w:rsidR="007325A9">
        <w:t>in t</w:t>
      </w:r>
      <w:r w:rsidR="00E9421E">
        <w:t xml:space="preserve">he quantity and form proposed. It is appropriately classified as a food additive since it provides a technological function as a stabiliser. </w:t>
      </w:r>
    </w:p>
    <w:p w14:paraId="7167FB45" w14:textId="127F23FA" w:rsidR="00566D98" w:rsidRDefault="00566D98" w:rsidP="00566D98"/>
    <w:p w14:paraId="112BD583" w14:textId="3DEAC1A6" w:rsidR="00124B22" w:rsidRDefault="00E10973" w:rsidP="00DC2890">
      <w:pPr>
        <w:rPr>
          <w:lang w:eastAsia="en-AU" w:bidi="ar-SA"/>
        </w:rPr>
      </w:pPr>
      <w:r w:rsidRPr="00EF04F3">
        <w:t xml:space="preserve">Results of </w:t>
      </w:r>
      <w:r w:rsidRPr="00EF04F3">
        <w:rPr>
          <w:i/>
        </w:rPr>
        <w:t>in vitro</w:t>
      </w:r>
      <w:r w:rsidRPr="00EF04F3">
        <w:t xml:space="preserve"> studies indicate that gastrointestinal degradation</w:t>
      </w:r>
      <w:r w:rsidR="005A202E">
        <w:t xml:space="preserve"> and absorption</w:t>
      </w:r>
      <w:r w:rsidRPr="00EF04F3">
        <w:t xml:space="preserve"> of potassium</w:t>
      </w:r>
      <w:r w:rsidR="00AF1E63" w:rsidRPr="00EF04F3">
        <w:t xml:space="preserve"> polyaspartate</w:t>
      </w:r>
      <w:r w:rsidRPr="00EF04F3">
        <w:t xml:space="preserve"> is </w:t>
      </w:r>
      <w:r w:rsidR="00124B22">
        <w:t xml:space="preserve">likely to be </w:t>
      </w:r>
      <w:r w:rsidRPr="00EF04F3">
        <w:t>minimal</w:t>
      </w:r>
      <w:r w:rsidR="00E86C62">
        <w:t>.</w:t>
      </w:r>
      <w:r w:rsidRPr="00EF04F3">
        <w:t xml:space="preserve"> </w:t>
      </w:r>
      <w:r w:rsidRPr="00EF04F3">
        <w:rPr>
          <w:lang w:eastAsia="en-AU" w:bidi="ar-SA"/>
        </w:rPr>
        <w:t xml:space="preserve">Potassium polyaspartate was not genotoxic </w:t>
      </w:r>
      <w:r w:rsidRPr="00EF04F3">
        <w:rPr>
          <w:i/>
          <w:lang w:eastAsia="en-AU" w:bidi="ar-SA"/>
        </w:rPr>
        <w:t>in vitro</w:t>
      </w:r>
      <w:r w:rsidRPr="00EF04F3">
        <w:rPr>
          <w:lang w:eastAsia="en-AU" w:bidi="ar-SA"/>
        </w:rPr>
        <w:t xml:space="preserve">, and no adverse effects were observed in 14-day and 90-day repeated dose oral toxicity studies in rats at doses up to 1000 mg/kg bw/day, the highest dose tested. </w:t>
      </w:r>
    </w:p>
    <w:p w14:paraId="026E754F" w14:textId="77777777" w:rsidR="00124B22" w:rsidRDefault="00124B22" w:rsidP="00DC2890">
      <w:pPr>
        <w:rPr>
          <w:lang w:eastAsia="en-AU" w:bidi="ar-SA"/>
        </w:rPr>
      </w:pPr>
    </w:p>
    <w:p w14:paraId="6D6FA12E" w14:textId="15BDE3EA" w:rsidR="00CF7DA7" w:rsidDel="004A5185" w:rsidRDefault="00381E1C" w:rsidP="00AF1E63">
      <w:r w:rsidDel="004A5185">
        <w:t>A dietary exposure assessment was conducted</w:t>
      </w:r>
      <w:r w:rsidR="0087110E" w:rsidDel="004A5185">
        <w:t xml:space="preserve"> </w:t>
      </w:r>
      <w:r w:rsidR="004C0BD4" w:rsidDel="004A5185">
        <w:t>for Australian and New Zealand population</w:t>
      </w:r>
      <w:r w:rsidR="007F4AC5">
        <w:t xml:space="preserve"> groups based on the proposed draft variation.</w:t>
      </w:r>
      <w:r w:rsidR="0087110E" w:rsidDel="004A5185">
        <w:t xml:space="preserve"> </w:t>
      </w:r>
      <w:r w:rsidR="007431F0" w:rsidDel="004A5185">
        <w:t>The estimated mean and 90</w:t>
      </w:r>
      <w:r w:rsidR="007431F0" w:rsidRPr="00F9455E" w:rsidDel="004A5185">
        <w:rPr>
          <w:vertAlign w:val="superscript"/>
        </w:rPr>
        <w:t>th</w:t>
      </w:r>
      <w:r w:rsidR="007431F0" w:rsidDel="004A5185">
        <w:t xml:space="preserve"> percentile dietary exposures range from 0.03</w:t>
      </w:r>
      <w:r w:rsidR="00186EE6" w:rsidDel="004A5185">
        <w:t>1</w:t>
      </w:r>
      <w:r w:rsidR="007431F0" w:rsidDel="004A5185">
        <w:t xml:space="preserve"> mg/kg </w:t>
      </w:r>
      <w:r w:rsidR="003402A8">
        <w:t>bw</w:t>
      </w:r>
      <w:r w:rsidR="007431F0" w:rsidDel="004A5185">
        <w:t>/day to 0.3</w:t>
      </w:r>
      <w:r w:rsidR="00186EE6" w:rsidDel="004A5185">
        <w:t>5</w:t>
      </w:r>
      <w:r w:rsidR="007431F0" w:rsidDel="004A5185">
        <w:t xml:space="preserve"> mg/kg </w:t>
      </w:r>
      <w:r w:rsidR="003402A8">
        <w:t>bw</w:t>
      </w:r>
      <w:r w:rsidR="007431F0" w:rsidDel="004A5185">
        <w:t>/day and from 0.07</w:t>
      </w:r>
      <w:r w:rsidR="00186EE6" w:rsidDel="004A5185">
        <w:t>2</w:t>
      </w:r>
      <w:r w:rsidR="007431F0" w:rsidDel="004A5185">
        <w:t xml:space="preserve"> mg/kg </w:t>
      </w:r>
      <w:r w:rsidR="003402A8">
        <w:t>bw</w:t>
      </w:r>
      <w:r w:rsidR="007431F0" w:rsidDel="004A5185">
        <w:t xml:space="preserve">/day to 0.79 mg/kg </w:t>
      </w:r>
      <w:r w:rsidR="003402A8">
        <w:t>bw</w:t>
      </w:r>
      <w:r w:rsidR="007431F0" w:rsidDel="004A5185">
        <w:t>/day</w:t>
      </w:r>
      <w:r w:rsidR="0024060E">
        <w:t>,</w:t>
      </w:r>
      <w:r w:rsidR="007431F0" w:rsidDel="004A5185">
        <w:t xml:space="preserve"> respectively</w:t>
      </w:r>
      <w:r w:rsidR="0024060E">
        <w:t>,</w:t>
      </w:r>
      <w:r w:rsidR="00CF7DA7" w:rsidDel="004A5185">
        <w:t xml:space="preserve"> </w:t>
      </w:r>
      <w:r w:rsidR="007431F0" w:rsidDel="004A5185">
        <w:t>across the population groups assessed.</w:t>
      </w:r>
    </w:p>
    <w:p w14:paraId="1E31A39C" w14:textId="77777777" w:rsidR="00CF7DA7" w:rsidDel="004A5185" w:rsidRDefault="00CF7DA7" w:rsidP="00513B86">
      <w:pPr>
        <w:rPr>
          <w:rFonts w:eastAsia="Calibri"/>
        </w:rPr>
      </w:pPr>
    </w:p>
    <w:p w14:paraId="29B2AA49" w14:textId="1005FDD1" w:rsidR="00513B86" w:rsidRDefault="00533525" w:rsidP="00AF1E63">
      <w:pPr>
        <w:rPr>
          <w:lang w:eastAsia="en-AU"/>
        </w:rPr>
      </w:pPr>
      <w:r w:rsidRPr="00F9455E">
        <w:rPr>
          <w:rFonts w:eastAsia="Calibri"/>
        </w:rPr>
        <w:t xml:space="preserve">The </w:t>
      </w:r>
      <w:r w:rsidR="00DC2890">
        <w:rPr>
          <w:rFonts w:eastAsia="Calibri"/>
        </w:rPr>
        <w:t>no observed adverse effect level (</w:t>
      </w:r>
      <w:r w:rsidRPr="00F9455E">
        <w:rPr>
          <w:rFonts w:eastAsia="Calibri"/>
        </w:rPr>
        <w:t>NOAEL</w:t>
      </w:r>
      <w:r w:rsidR="00DC2890">
        <w:rPr>
          <w:rFonts w:eastAsia="Calibri"/>
        </w:rPr>
        <w:t>)</w:t>
      </w:r>
      <w:r w:rsidRPr="00F9455E">
        <w:rPr>
          <w:rFonts w:eastAsia="Calibri"/>
        </w:rPr>
        <w:t xml:space="preserve"> in the 90-day repeated dose oral toxicity study in rats (</w:t>
      </w:r>
      <w:r>
        <w:rPr>
          <w:lang w:eastAsia="en-AU"/>
        </w:rPr>
        <w:t>1000 mg/kg bw/day) is more than 1200-fold higher than the highest 90</w:t>
      </w:r>
      <w:r w:rsidRPr="00F9455E">
        <w:rPr>
          <w:vertAlign w:val="superscript"/>
          <w:lang w:eastAsia="en-AU"/>
        </w:rPr>
        <w:t>th</w:t>
      </w:r>
      <w:r>
        <w:rPr>
          <w:lang w:eastAsia="en-AU"/>
        </w:rPr>
        <w:t xml:space="preserve"> percentile exposure to potassium polyaspartate in the dietary exposure assessment. </w:t>
      </w:r>
    </w:p>
    <w:p w14:paraId="52C37893" w14:textId="1EA57B65" w:rsidR="00611650" w:rsidRDefault="00611650" w:rsidP="00AF1E63">
      <w:pPr>
        <w:rPr>
          <w:lang w:eastAsia="en-AU"/>
        </w:rPr>
      </w:pPr>
    </w:p>
    <w:p w14:paraId="76E8F840" w14:textId="79538116" w:rsidR="00611650" w:rsidRDefault="00611650" w:rsidP="00611650">
      <w:pPr>
        <w:rPr>
          <w:lang w:val="en-AU" w:eastAsia="en-AU" w:bidi="ar-SA"/>
        </w:rPr>
      </w:pPr>
      <w:r w:rsidRPr="003E0346">
        <w:rPr>
          <w:lang w:val="en-AU" w:eastAsia="en-AU" w:bidi="ar-SA"/>
        </w:rPr>
        <w:t>Based on the reviewed data, it is concluded that in the absence of any identifiable hazard, an Acceptable Daily Intake (ADI</w:t>
      </w:r>
      <w:r>
        <w:rPr>
          <w:lang w:val="en-AU" w:eastAsia="en-AU" w:bidi="ar-SA"/>
        </w:rPr>
        <w:t>)</w:t>
      </w:r>
      <w:r w:rsidRPr="003E0346">
        <w:rPr>
          <w:lang w:val="en-AU" w:eastAsia="en-AU" w:bidi="ar-SA"/>
        </w:rPr>
        <w:t xml:space="preserve"> ‘not specified’ is appropriate</w:t>
      </w:r>
      <w:r>
        <w:rPr>
          <w:lang w:val="en-AU" w:eastAsia="en-AU" w:bidi="ar-SA"/>
        </w:rPr>
        <w:t xml:space="preserve"> for potassium polyaspartate</w:t>
      </w:r>
      <w:r w:rsidRPr="003E0346">
        <w:rPr>
          <w:lang w:val="en-AU" w:eastAsia="en-AU" w:bidi="ar-SA"/>
        </w:rPr>
        <w:t>.</w:t>
      </w:r>
    </w:p>
    <w:p w14:paraId="4D7B83AB" w14:textId="77777777" w:rsidR="00611650" w:rsidRDefault="00611650" w:rsidP="00AF1E63">
      <w:pPr>
        <w:rPr>
          <w:lang w:eastAsia="en-AU"/>
        </w:rPr>
      </w:pPr>
    </w:p>
    <w:p w14:paraId="4CFB9E3C" w14:textId="398CADF1" w:rsidR="002F538A" w:rsidRDefault="00611650" w:rsidP="00AF1E63">
      <w:r>
        <w:rPr>
          <w:lang w:bidi="ar-SA"/>
        </w:rPr>
        <w:t>T</w:t>
      </w:r>
      <w:r w:rsidR="002F538A">
        <w:rPr>
          <w:lang w:bidi="ar-SA"/>
        </w:rPr>
        <w:t xml:space="preserve">here </w:t>
      </w:r>
      <w:r w:rsidR="00E4451A">
        <w:rPr>
          <w:lang w:bidi="ar-SA"/>
        </w:rPr>
        <w:t xml:space="preserve">are no </w:t>
      </w:r>
      <w:r w:rsidR="002F538A">
        <w:rPr>
          <w:lang w:bidi="ar-SA"/>
        </w:rPr>
        <w:t xml:space="preserve">public health and safety </w:t>
      </w:r>
      <w:r w:rsidR="00E4451A">
        <w:rPr>
          <w:lang w:bidi="ar-SA"/>
        </w:rPr>
        <w:t>concerns from the use of</w:t>
      </w:r>
      <w:r w:rsidR="002F538A">
        <w:rPr>
          <w:lang w:bidi="ar-SA"/>
        </w:rPr>
        <w:t xml:space="preserve"> potassium polyaspartate as </w:t>
      </w:r>
      <w:r w:rsidR="00E4451A">
        <w:t>a food additive in wine at the proposed levels</w:t>
      </w:r>
      <w:r w:rsidR="002F538A">
        <w:rPr>
          <w:lang w:bidi="ar-SA"/>
        </w:rPr>
        <w:t>.</w:t>
      </w:r>
    </w:p>
    <w:p w14:paraId="463B834B" w14:textId="77777777" w:rsidR="00513B86" w:rsidRDefault="00513B86" w:rsidP="00513B86"/>
    <w:p w14:paraId="5691A056" w14:textId="77777777" w:rsidR="00513B86" w:rsidRDefault="00513B86" w:rsidP="00513B86"/>
    <w:p w14:paraId="7D00346B" w14:textId="0880B282" w:rsidR="00DB5DC4" w:rsidRDefault="00DB5DC4">
      <w:pPr>
        <w:widowControl/>
        <w:rPr>
          <w:bCs/>
          <w:sz w:val="32"/>
          <w:szCs w:val="28"/>
          <w:lang w:bidi="ar-SA"/>
        </w:rPr>
      </w:pPr>
    </w:p>
    <w:p w14:paraId="5CB54871" w14:textId="1FF45F7E"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50EF2E25" w14:textId="1179BFEB" w:rsidR="00330DA6"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4342523" w:history="1">
        <w:r w:rsidR="00330DA6" w:rsidRPr="00570400">
          <w:rPr>
            <w:rStyle w:val="Hyperlink"/>
            <w:noProof/>
          </w:rPr>
          <w:t>Executive summary</w:t>
        </w:r>
        <w:r w:rsidR="00330DA6">
          <w:rPr>
            <w:noProof/>
            <w:webHidden/>
          </w:rPr>
          <w:tab/>
        </w:r>
        <w:r w:rsidR="00330DA6">
          <w:rPr>
            <w:noProof/>
            <w:webHidden/>
          </w:rPr>
          <w:fldChar w:fldCharType="begin"/>
        </w:r>
        <w:r w:rsidR="00330DA6">
          <w:rPr>
            <w:noProof/>
            <w:webHidden/>
          </w:rPr>
          <w:instrText xml:space="preserve"> PAGEREF _Toc524342523 \h </w:instrText>
        </w:r>
        <w:r w:rsidR="00330DA6">
          <w:rPr>
            <w:noProof/>
            <w:webHidden/>
          </w:rPr>
        </w:r>
        <w:r w:rsidR="00330DA6">
          <w:rPr>
            <w:noProof/>
            <w:webHidden/>
          </w:rPr>
          <w:fldChar w:fldCharType="separate"/>
        </w:r>
        <w:r w:rsidR="00BB3A80">
          <w:rPr>
            <w:noProof/>
            <w:webHidden/>
          </w:rPr>
          <w:t>1</w:t>
        </w:r>
        <w:r w:rsidR="00330DA6">
          <w:rPr>
            <w:noProof/>
            <w:webHidden/>
          </w:rPr>
          <w:fldChar w:fldCharType="end"/>
        </w:r>
      </w:hyperlink>
    </w:p>
    <w:p w14:paraId="02CA1750" w14:textId="00E6F800" w:rsidR="00330DA6" w:rsidRDefault="003E4572">
      <w:pPr>
        <w:pStyle w:val="TOC1"/>
        <w:tabs>
          <w:tab w:val="right" w:leader="dot" w:pos="9060"/>
        </w:tabs>
        <w:rPr>
          <w:rFonts w:eastAsiaTheme="minorEastAsia" w:cstheme="minorBidi"/>
          <w:b w:val="0"/>
          <w:bCs w:val="0"/>
          <w:caps w:val="0"/>
          <w:noProof/>
          <w:sz w:val="22"/>
          <w:szCs w:val="22"/>
          <w:lang w:eastAsia="en-GB" w:bidi="ar-SA"/>
        </w:rPr>
      </w:pPr>
      <w:hyperlink w:anchor="_Toc524342524" w:history="1">
        <w:r w:rsidR="00330DA6" w:rsidRPr="00570400">
          <w:rPr>
            <w:rStyle w:val="Hyperlink"/>
            <w:noProof/>
          </w:rPr>
          <w:t>1. Introduction</w:t>
        </w:r>
        <w:r w:rsidR="00330DA6">
          <w:rPr>
            <w:noProof/>
            <w:webHidden/>
          </w:rPr>
          <w:tab/>
        </w:r>
        <w:r w:rsidR="00330DA6">
          <w:rPr>
            <w:noProof/>
            <w:webHidden/>
          </w:rPr>
          <w:fldChar w:fldCharType="begin"/>
        </w:r>
        <w:r w:rsidR="00330DA6">
          <w:rPr>
            <w:noProof/>
            <w:webHidden/>
          </w:rPr>
          <w:instrText xml:space="preserve"> PAGEREF _Toc524342524 \h </w:instrText>
        </w:r>
        <w:r w:rsidR="00330DA6">
          <w:rPr>
            <w:noProof/>
            <w:webHidden/>
          </w:rPr>
        </w:r>
        <w:r w:rsidR="00330DA6">
          <w:rPr>
            <w:noProof/>
            <w:webHidden/>
          </w:rPr>
          <w:fldChar w:fldCharType="separate"/>
        </w:r>
        <w:r w:rsidR="00BB3A80">
          <w:rPr>
            <w:noProof/>
            <w:webHidden/>
          </w:rPr>
          <w:t>3</w:t>
        </w:r>
        <w:r w:rsidR="00330DA6">
          <w:rPr>
            <w:noProof/>
            <w:webHidden/>
          </w:rPr>
          <w:fldChar w:fldCharType="end"/>
        </w:r>
      </w:hyperlink>
    </w:p>
    <w:p w14:paraId="1DED11AF" w14:textId="15B3027E" w:rsidR="00330DA6" w:rsidRDefault="003E4572">
      <w:pPr>
        <w:pStyle w:val="TOC1"/>
        <w:tabs>
          <w:tab w:val="right" w:leader="dot" w:pos="9060"/>
        </w:tabs>
        <w:rPr>
          <w:rFonts w:eastAsiaTheme="minorEastAsia" w:cstheme="minorBidi"/>
          <w:b w:val="0"/>
          <w:bCs w:val="0"/>
          <w:caps w:val="0"/>
          <w:noProof/>
          <w:sz w:val="22"/>
          <w:szCs w:val="22"/>
          <w:lang w:eastAsia="en-GB" w:bidi="ar-SA"/>
        </w:rPr>
      </w:pPr>
      <w:hyperlink w:anchor="_Toc524342525" w:history="1">
        <w:r w:rsidR="00330DA6" w:rsidRPr="00570400">
          <w:rPr>
            <w:rStyle w:val="Hyperlink"/>
            <w:noProof/>
          </w:rPr>
          <w:t>2. Food technology assessment</w:t>
        </w:r>
        <w:r w:rsidR="00330DA6">
          <w:rPr>
            <w:noProof/>
            <w:webHidden/>
          </w:rPr>
          <w:tab/>
        </w:r>
        <w:r w:rsidR="00330DA6">
          <w:rPr>
            <w:noProof/>
            <w:webHidden/>
          </w:rPr>
          <w:fldChar w:fldCharType="begin"/>
        </w:r>
        <w:r w:rsidR="00330DA6">
          <w:rPr>
            <w:noProof/>
            <w:webHidden/>
          </w:rPr>
          <w:instrText xml:space="preserve"> PAGEREF _Toc524342525 \h </w:instrText>
        </w:r>
        <w:r w:rsidR="00330DA6">
          <w:rPr>
            <w:noProof/>
            <w:webHidden/>
          </w:rPr>
        </w:r>
        <w:r w:rsidR="00330DA6">
          <w:rPr>
            <w:noProof/>
            <w:webHidden/>
          </w:rPr>
          <w:fldChar w:fldCharType="separate"/>
        </w:r>
        <w:r w:rsidR="00BB3A80">
          <w:rPr>
            <w:noProof/>
            <w:webHidden/>
          </w:rPr>
          <w:t>3</w:t>
        </w:r>
        <w:r w:rsidR="00330DA6">
          <w:rPr>
            <w:noProof/>
            <w:webHidden/>
          </w:rPr>
          <w:fldChar w:fldCharType="end"/>
        </w:r>
      </w:hyperlink>
    </w:p>
    <w:p w14:paraId="2ACC3434" w14:textId="5920D47A"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26" w:history="1">
        <w:r w:rsidR="00330DA6" w:rsidRPr="00570400">
          <w:rPr>
            <w:rStyle w:val="Hyperlink"/>
            <w:noProof/>
          </w:rPr>
          <w:t>2.1 Objectives for the food technology assessment</w:t>
        </w:r>
        <w:r w:rsidR="00330DA6">
          <w:rPr>
            <w:noProof/>
            <w:webHidden/>
          </w:rPr>
          <w:tab/>
        </w:r>
        <w:r w:rsidR="00330DA6">
          <w:rPr>
            <w:noProof/>
            <w:webHidden/>
          </w:rPr>
          <w:fldChar w:fldCharType="begin"/>
        </w:r>
        <w:r w:rsidR="00330DA6">
          <w:rPr>
            <w:noProof/>
            <w:webHidden/>
          </w:rPr>
          <w:instrText xml:space="preserve"> PAGEREF _Toc524342526 \h </w:instrText>
        </w:r>
        <w:r w:rsidR="00330DA6">
          <w:rPr>
            <w:noProof/>
            <w:webHidden/>
          </w:rPr>
        </w:r>
        <w:r w:rsidR="00330DA6">
          <w:rPr>
            <w:noProof/>
            <w:webHidden/>
          </w:rPr>
          <w:fldChar w:fldCharType="separate"/>
        </w:r>
        <w:r w:rsidR="00BB3A80">
          <w:rPr>
            <w:noProof/>
            <w:webHidden/>
          </w:rPr>
          <w:t>3</w:t>
        </w:r>
        <w:r w:rsidR="00330DA6">
          <w:rPr>
            <w:noProof/>
            <w:webHidden/>
          </w:rPr>
          <w:fldChar w:fldCharType="end"/>
        </w:r>
      </w:hyperlink>
    </w:p>
    <w:p w14:paraId="76FB8042" w14:textId="790355B1"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27" w:history="1">
        <w:r w:rsidR="00330DA6" w:rsidRPr="00570400">
          <w:rPr>
            <w:rStyle w:val="Hyperlink"/>
            <w:noProof/>
          </w:rPr>
          <w:t>2.2 Chemical and physical properties</w:t>
        </w:r>
        <w:r w:rsidR="00330DA6">
          <w:rPr>
            <w:noProof/>
            <w:webHidden/>
          </w:rPr>
          <w:tab/>
        </w:r>
        <w:r w:rsidR="00330DA6">
          <w:rPr>
            <w:noProof/>
            <w:webHidden/>
          </w:rPr>
          <w:fldChar w:fldCharType="begin"/>
        </w:r>
        <w:r w:rsidR="00330DA6">
          <w:rPr>
            <w:noProof/>
            <w:webHidden/>
          </w:rPr>
          <w:instrText xml:space="preserve"> PAGEREF _Toc524342527 \h </w:instrText>
        </w:r>
        <w:r w:rsidR="00330DA6">
          <w:rPr>
            <w:noProof/>
            <w:webHidden/>
          </w:rPr>
        </w:r>
        <w:r w:rsidR="00330DA6">
          <w:rPr>
            <w:noProof/>
            <w:webHidden/>
          </w:rPr>
          <w:fldChar w:fldCharType="separate"/>
        </w:r>
        <w:r w:rsidR="00BB3A80">
          <w:rPr>
            <w:noProof/>
            <w:webHidden/>
          </w:rPr>
          <w:t>3</w:t>
        </w:r>
        <w:r w:rsidR="00330DA6">
          <w:rPr>
            <w:noProof/>
            <w:webHidden/>
          </w:rPr>
          <w:fldChar w:fldCharType="end"/>
        </w:r>
      </w:hyperlink>
    </w:p>
    <w:p w14:paraId="29746E39" w14:textId="38A509B8"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28" w:history="1">
        <w:r w:rsidR="00330DA6" w:rsidRPr="00570400">
          <w:rPr>
            <w:rStyle w:val="Hyperlink"/>
            <w:noProof/>
          </w:rPr>
          <w:t>2.3 Technological purpose</w:t>
        </w:r>
        <w:r w:rsidR="00330DA6">
          <w:rPr>
            <w:noProof/>
            <w:webHidden/>
          </w:rPr>
          <w:tab/>
        </w:r>
        <w:r w:rsidR="00330DA6">
          <w:rPr>
            <w:noProof/>
            <w:webHidden/>
          </w:rPr>
          <w:fldChar w:fldCharType="begin"/>
        </w:r>
        <w:r w:rsidR="00330DA6">
          <w:rPr>
            <w:noProof/>
            <w:webHidden/>
          </w:rPr>
          <w:instrText xml:space="preserve"> PAGEREF _Toc524342528 \h </w:instrText>
        </w:r>
        <w:r w:rsidR="00330DA6">
          <w:rPr>
            <w:noProof/>
            <w:webHidden/>
          </w:rPr>
        </w:r>
        <w:r w:rsidR="00330DA6">
          <w:rPr>
            <w:noProof/>
            <w:webHidden/>
          </w:rPr>
          <w:fldChar w:fldCharType="separate"/>
        </w:r>
        <w:r w:rsidR="00BB3A80">
          <w:rPr>
            <w:noProof/>
            <w:webHidden/>
          </w:rPr>
          <w:t>4</w:t>
        </w:r>
        <w:r w:rsidR="00330DA6">
          <w:rPr>
            <w:noProof/>
            <w:webHidden/>
          </w:rPr>
          <w:fldChar w:fldCharType="end"/>
        </w:r>
      </w:hyperlink>
    </w:p>
    <w:p w14:paraId="72B53920" w14:textId="01877335"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29" w:history="1">
        <w:r w:rsidR="00330DA6" w:rsidRPr="00570400">
          <w:rPr>
            <w:rStyle w:val="Hyperlink"/>
            <w:noProof/>
          </w:rPr>
          <w:t>2.3.1 Physical processes</w:t>
        </w:r>
        <w:r w:rsidR="00330DA6">
          <w:rPr>
            <w:noProof/>
            <w:webHidden/>
          </w:rPr>
          <w:tab/>
        </w:r>
        <w:r w:rsidR="00330DA6">
          <w:rPr>
            <w:noProof/>
            <w:webHidden/>
          </w:rPr>
          <w:fldChar w:fldCharType="begin"/>
        </w:r>
        <w:r w:rsidR="00330DA6">
          <w:rPr>
            <w:noProof/>
            <w:webHidden/>
          </w:rPr>
          <w:instrText xml:space="preserve"> PAGEREF _Toc524342529 \h </w:instrText>
        </w:r>
        <w:r w:rsidR="00330DA6">
          <w:rPr>
            <w:noProof/>
            <w:webHidden/>
          </w:rPr>
        </w:r>
        <w:r w:rsidR="00330DA6">
          <w:rPr>
            <w:noProof/>
            <w:webHidden/>
          </w:rPr>
          <w:fldChar w:fldCharType="separate"/>
        </w:r>
        <w:r w:rsidR="00BB3A80">
          <w:rPr>
            <w:noProof/>
            <w:webHidden/>
          </w:rPr>
          <w:t>4</w:t>
        </w:r>
        <w:r w:rsidR="00330DA6">
          <w:rPr>
            <w:noProof/>
            <w:webHidden/>
          </w:rPr>
          <w:fldChar w:fldCharType="end"/>
        </w:r>
      </w:hyperlink>
    </w:p>
    <w:p w14:paraId="2D5D7836" w14:textId="0118A3EE"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30" w:history="1">
        <w:r w:rsidR="00330DA6" w:rsidRPr="00570400">
          <w:rPr>
            <w:rStyle w:val="Hyperlink"/>
            <w:noProof/>
          </w:rPr>
          <w:t>2.3.2 Chemical processes – use of food additives</w:t>
        </w:r>
        <w:r w:rsidR="00330DA6">
          <w:rPr>
            <w:noProof/>
            <w:webHidden/>
          </w:rPr>
          <w:tab/>
        </w:r>
        <w:r w:rsidR="00330DA6">
          <w:rPr>
            <w:noProof/>
            <w:webHidden/>
          </w:rPr>
          <w:fldChar w:fldCharType="begin"/>
        </w:r>
        <w:r w:rsidR="00330DA6">
          <w:rPr>
            <w:noProof/>
            <w:webHidden/>
          </w:rPr>
          <w:instrText xml:space="preserve"> PAGEREF _Toc524342530 \h </w:instrText>
        </w:r>
        <w:r w:rsidR="00330DA6">
          <w:rPr>
            <w:noProof/>
            <w:webHidden/>
          </w:rPr>
        </w:r>
        <w:r w:rsidR="00330DA6">
          <w:rPr>
            <w:noProof/>
            <w:webHidden/>
          </w:rPr>
          <w:fldChar w:fldCharType="separate"/>
        </w:r>
        <w:r w:rsidR="00BB3A80">
          <w:rPr>
            <w:noProof/>
            <w:webHidden/>
          </w:rPr>
          <w:t>4</w:t>
        </w:r>
        <w:r w:rsidR="00330DA6">
          <w:rPr>
            <w:noProof/>
            <w:webHidden/>
          </w:rPr>
          <w:fldChar w:fldCharType="end"/>
        </w:r>
      </w:hyperlink>
    </w:p>
    <w:p w14:paraId="75D9858F" w14:textId="5544F595"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31" w:history="1">
        <w:r w:rsidR="00330DA6" w:rsidRPr="00570400">
          <w:rPr>
            <w:rStyle w:val="Hyperlink"/>
            <w:noProof/>
          </w:rPr>
          <w:t>2.4 Technological justification</w:t>
        </w:r>
        <w:r w:rsidR="00330DA6">
          <w:rPr>
            <w:noProof/>
            <w:webHidden/>
          </w:rPr>
          <w:tab/>
        </w:r>
        <w:r w:rsidR="00330DA6">
          <w:rPr>
            <w:noProof/>
            <w:webHidden/>
          </w:rPr>
          <w:fldChar w:fldCharType="begin"/>
        </w:r>
        <w:r w:rsidR="00330DA6">
          <w:rPr>
            <w:noProof/>
            <w:webHidden/>
          </w:rPr>
          <w:instrText xml:space="preserve"> PAGEREF _Toc524342531 \h </w:instrText>
        </w:r>
        <w:r w:rsidR="00330DA6">
          <w:rPr>
            <w:noProof/>
            <w:webHidden/>
          </w:rPr>
        </w:r>
        <w:r w:rsidR="00330DA6">
          <w:rPr>
            <w:noProof/>
            <w:webHidden/>
          </w:rPr>
          <w:fldChar w:fldCharType="separate"/>
        </w:r>
        <w:r w:rsidR="00BB3A80">
          <w:rPr>
            <w:noProof/>
            <w:webHidden/>
          </w:rPr>
          <w:t>5</w:t>
        </w:r>
        <w:r w:rsidR="00330DA6">
          <w:rPr>
            <w:noProof/>
            <w:webHidden/>
          </w:rPr>
          <w:fldChar w:fldCharType="end"/>
        </w:r>
      </w:hyperlink>
    </w:p>
    <w:p w14:paraId="34E5A5E7" w14:textId="566644F8"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32" w:history="1">
        <w:r w:rsidR="00330DA6" w:rsidRPr="00570400">
          <w:rPr>
            <w:rStyle w:val="Hyperlink"/>
            <w:noProof/>
          </w:rPr>
          <w:t>2.5 The manufacturing process</w:t>
        </w:r>
        <w:r w:rsidR="00330DA6">
          <w:rPr>
            <w:noProof/>
            <w:webHidden/>
          </w:rPr>
          <w:tab/>
        </w:r>
        <w:r w:rsidR="00330DA6">
          <w:rPr>
            <w:noProof/>
            <w:webHidden/>
          </w:rPr>
          <w:fldChar w:fldCharType="begin"/>
        </w:r>
        <w:r w:rsidR="00330DA6">
          <w:rPr>
            <w:noProof/>
            <w:webHidden/>
          </w:rPr>
          <w:instrText xml:space="preserve"> PAGEREF _Toc524342532 \h </w:instrText>
        </w:r>
        <w:r w:rsidR="00330DA6">
          <w:rPr>
            <w:noProof/>
            <w:webHidden/>
          </w:rPr>
        </w:r>
        <w:r w:rsidR="00330DA6">
          <w:rPr>
            <w:noProof/>
            <w:webHidden/>
          </w:rPr>
          <w:fldChar w:fldCharType="separate"/>
        </w:r>
        <w:r w:rsidR="00BB3A80">
          <w:rPr>
            <w:noProof/>
            <w:webHidden/>
          </w:rPr>
          <w:t>5</w:t>
        </w:r>
        <w:r w:rsidR="00330DA6">
          <w:rPr>
            <w:noProof/>
            <w:webHidden/>
          </w:rPr>
          <w:fldChar w:fldCharType="end"/>
        </w:r>
      </w:hyperlink>
    </w:p>
    <w:p w14:paraId="691A5892" w14:textId="7F636E6B"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33" w:history="1">
        <w:r w:rsidR="00330DA6" w:rsidRPr="00570400">
          <w:rPr>
            <w:rStyle w:val="Hyperlink"/>
            <w:noProof/>
          </w:rPr>
          <w:t>2.6 Product specifications</w:t>
        </w:r>
        <w:r w:rsidR="00330DA6">
          <w:rPr>
            <w:noProof/>
            <w:webHidden/>
          </w:rPr>
          <w:tab/>
        </w:r>
        <w:r w:rsidR="00330DA6">
          <w:rPr>
            <w:noProof/>
            <w:webHidden/>
          </w:rPr>
          <w:fldChar w:fldCharType="begin"/>
        </w:r>
        <w:r w:rsidR="00330DA6">
          <w:rPr>
            <w:noProof/>
            <w:webHidden/>
          </w:rPr>
          <w:instrText xml:space="preserve"> PAGEREF _Toc524342533 \h </w:instrText>
        </w:r>
        <w:r w:rsidR="00330DA6">
          <w:rPr>
            <w:noProof/>
            <w:webHidden/>
          </w:rPr>
        </w:r>
        <w:r w:rsidR="00330DA6">
          <w:rPr>
            <w:noProof/>
            <w:webHidden/>
          </w:rPr>
          <w:fldChar w:fldCharType="separate"/>
        </w:r>
        <w:r w:rsidR="00BB3A80">
          <w:rPr>
            <w:noProof/>
            <w:webHidden/>
          </w:rPr>
          <w:t>5</w:t>
        </w:r>
        <w:r w:rsidR="00330DA6">
          <w:rPr>
            <w:noProof/>
            <w:webHidden/>
          </w:rPr>
          <w:fldChar w:fldCharType="end"/>
        </w:r>
      </w:hyperlink>
    </w:p>
    <w:p w14:paraId="32C4C815" w14:textId="42929526"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34" w:history="1">
        <w:r w:rsidR="00330DA6" w:rsidRPr="00570400">
          <w:rPr>
            <w:rStyle w:val="Hyperlink"/>
            <w:noProof/>
          </w:rPr>
          <w:t>2.7 Analytical method of detection</w:t>
        </w:r>
        <w:r w:rsidR="00330DA6">
          <w:rPr>
            <w:noProof/>
            <w:webHidden/>
          </w:rPr>
          <w:tab/>
        </w:r>
        <w:r w:rsidR="00330DA6">
          <w:rPr>
            <w:noProof/>
            <w:webHidden/>
          </w:rPr>
          <w:fldChar w:fldCharType="begin"/>
        </w:r>
        <w:r w:rsidR="00330DA6">
          <w:rPr>
            <w:noProof/>
            <w:webHidden/>
          </w:rPr>
          <w:instrText xml:space="preserve"> PAGEREF _Toc524342534 \h </w:instrText>
        </w:r>
        <w:r w:rsidR="00330DA6">
          <w:rPr>
            <w:noProof/>
            <w:webHidden/>
          </w:rPr>
        </w:r>
        <w:r w:rsidR="00330DA6">
          <w:rPr>
            <w:noProof/>
            <w:webHidden/>
          </w:rPr>
          <w:fldChar w:fldCharType="separate"/>
        </w:r>
        <w:r w:rsidR="00BB3A80">
          <w:rPr>
            <w:noProof/>
            <w:webHidden/>
          </w:rPr>
          <w:t>6</w:t>
        </w:r>
        <w:r w:rsidR="00330DA6">
          <w:rPr>
            <w:noProof/>
            <w:webHidden/>
          </w:rPr>
          <w:fldChar w:fldCharType="end"/>
        </w:r>
      </w:hyperlink>
    </w:p>
    <w:p w14:paraId="423CAED0" w14:textId="5BE94D1A"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35" w:history="1">
        <w:r w:rsidR="00330DA6" w:rsidRPr="00570400">
          <w:rPr>
            <w:rStyle w:val="Hyperlink"/>
            <w:noProof/>
          </w:rPr>
          <w:t>2.8 Product stability</w:t>
        </w:r>
        <w:r w:rsidR="00330DA6">
          <w:rPr>
            <w:noProof/>
            <w:webHidden/>
          </w:rPr>
          <w:tab/>
        </w:r>
        <w:r w:rsidR="00330DA6">
          <w:rPr>
            <w:noProof/>
            <w:webHidden/>
          </w:rPr>
          <w:fldChar w:fldCharType="begin"/>
        </w:r>
        <w:r w:rsidR="00330DA6">
          <w:rPr>
            <w:noProof/>
            <w:webHidden/>
          </w:rPr>
          <w:instrText xml:space="preserve"> PAGEREF _Toc524342535 \h </w:instrText>
        </w:r>
        <w:r w:rsidR="00330DA6">
          <w:rPr>
            <w:noProof/>
            <w:webHidden/>
          </w:rPr>
        </w:r>
        <w:r w:rsidR="00330DA6">
          <w:rPr>
            <w:noProof/>
            <w:webHidden/>
          </w:rPr>
          <w:fldChar w:fldCharType="separate"/>
        </w:r>
        <w:r w:rsidR="00BB3A80">
          <w:rPr>
            <w:noProof/>
            <w:webHidden/>
          </w:rPr>
          <w:t>6</w:t>
        </w:r>
        <w:r w:rsidR="00330DA6">
          <w:rPr>
            <w:noProof/>
            <w:webHidden/>
          </w:rPr>
          <w:fldChar w:fldCharType="end"/>
        </w:r>
      </w:hyperlink>
    </w:p>
    <w:p w14:paraId="2D0B2B98" w14:textId="475CBC64"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36" w:history="1">
        <w:r w:rsidR="00330DA6" w:rsidRPr="00570400">
          <w:rPr>
            <w:rStyle w:val="Hyperlink"/>
            <w:noProof/>
          </w:rPr>
          <w:t>2.8.1 Shelf-life</w:t>
        </w:r>
        <w:r w:rsidR="00330DA6">
          <w:rPr>
            <w:noProof/>
            <w:webHidden/>
          </w:rPr>
          <w:tab/>
        </w:r>
        <w:r w:rsidR="00330DA6">
          <w:rPr>
            <w:noProof/>
            <w:webHidden/>
          </w:rPr>
          <w:fldChar w:fldCharType="begin"/>
        </w:r>
        <w:r w:rsidR="00330DA6">
          <w:rPr>
            <w:noProof/>
            <w:webHidden/>
          </w:rPr>
          <w:instrText xml:space="preserve"> PAGEREF _Toc524342536 \h </w:instrText>
        </w:r>
        <w:r w:rsidR="00330DA6">
          <w:rPr>
            <w:noProof/>
            <w:webHidden/>
          </w:rPr>
        </w:r>
        <w:r w:rsidR="00330DA6">
          <w:rPr>
            <w:noProof/>
            <w:webHidden/>
          </w:rPr>
          <w:fldChar w:fldCharType="separate"/>
        </w:r>
        <w:r w:rsidR="00BB3A80">
          <w:rPr>
            <w:noProof/>
            <w:webHidden/>
          </w:rPr>
          <w:t>6</w:t>
        </w:r>
        <w:r w:rsidR="00330DA6">
          <w:rPr>
            <w:noProof/>
            <w:webHidden/>
          </w:rPr>
          <w:fldChar w:fldCharType="end"/>
        </w:r>
      </w:hyperlink>
    </w:p>
    <w:p w14:paraId="20942B61" w14:textId="577E8994"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37" w:history="1">
        <w:r w:rsidR="00330DA6" w:rsidRPr="00570400">
          <w:rPr>
            <w:rStyle w:val="Hyperlink"/>
            <w:noProof/>
          </w:rPr>
          <w:t>2.8.2 Stability in wine</w:t>
        </w:r>
        <w:r w:rsidR="00330DA6">
          <w:rPr>
            <w:noProof/>
            <w:webHidden/>
          </w:rPr>
          <w:tab/>
        </w:r>
        <w:r w:rsidR="00330DA6">
          <w:rPr>
            <w:noProof/>
            <w:webHidden/>
          </w:rPr>
          <w:fldChar w:fldCharType="begin"/>
        </w:r>
        <w:r w:rsidR="00330DA6">
          <w:rPr>
            <w:noProof/>
            <w:webHidden/>
          </w:rPr>
          <w:instrText xml:space="preserve"> PAGEREF _Toc524342537 \h </w:instrText>
        </w:r>
        <w:r w:rsidR="00330DA6">
          <w:rPr>
            <w:noProof/>
            <w:webHidden/>
          </w:rPr>
        </w:r>
        <w:r w:rsidR="00330DA6">
          <w:rPr>
            <w:noProof/>
            <w:webHidden/>
          </w:rPr>
          <w:fldChar w:fldCharType="separate"/>
        </w:r>
        <w:r w:rsidR="00BB3A80">
          <w:rPr>
            <w:noProof/>
            <w:webHidden/>
          </w:rPr>
          <w:t>7</w:t>
        </w:r>
        <w:r w:rsidR="00330DA6">
          <w:rPr>
            <w:noProof/>
            <w:webHidden/>
          </w:rPr>
          <w:fldChar w:fldCharType="end"/>
        </w:r>
      </w:hyperlink>
    </w:p>
    <w:p w14:paraId="6F50F4D0" w14:textId="7F82BB2C"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38" w:history="1">
        <w:r w:rsidR="00330DA6" w:rsidRPr="00570400">
          <w:rPr>
            <w:rStyle w:val="Hyperlink"/>
            <w:noProof/>
          </w:rPr>
          <w:t>2.9 Food technology conclusions</w:t>
        </w:r>
        <w:r w:rsidR="00330DA6">
          <w:rPr>
            <w:noProof/>
            <w:webHidden/>
          </w:rPr>
          <w:tab/>
        </w:r>
        <w:r w:rsidR="00330DA6">
          <w:rPr>
            <w:noProof/>
            <w:webHidden/>
          </w:rPr>
          <w:fldChar w:fldCharType="begin"/>
        </w:r>
        <w:r w:rsidR="00330DA6">
          <w:rPr>
            <w:noProof/>
            <w:webHidden/>
          </w:rPr>
          <w:instrText xml:space="preserve"> PAGEREF _Toc524342538 \h </w:instrText>
        </w:r>
        <w:r w:rsidR="00330DA6">
          <w:rPr>
            <w:noProof/>
            <w:webHidden/>
          </w:rPr>
        </w:r>
        <w:r w:rsidR="00330DA6">
          <w:rPr>
            <w:noProof/>
            <w:webHidden/>
          </w:rPr>
          <w:fldChar w:fldCharType="separate"/>
        </w:r>
        <w:r w:rsidR="00BB3A80">
          <w:rPr>
            <w:noProof/>
            <w:webHidden/>
          </w:rPr>
          <w:t>7</w:t>
        </w:r>
        <w:r w:rsidR="00330DA6">
          <w:rPr>
            <w:noProof/>
            <w:webHidden/>
          </w:rPr>
          <w:fldChar w:fldCharType="end"/>
        </w:r>
      </w:hyperlink>
    </w:p>
    <w:p w14:paraId="0FCCC1D5" w14:textId="027E56B5" w:rsidR="00330DA6" w:rsidRDefault="003E4572">
      <w:pPr>
        <w:pStyle w:val="TOC1"/>
        <w:tabs>
          <w:tab w:val="right" w:leader="dot" w:pos="9060"/>
        </w:tabs>
        <w:rPr>
          <w:rFonts w:eastAsiaTheme="minorEastAsia" w:cstheme="minorBidi"/>
          <w:b w:val="0"/>
          <w:bCs w:val="0"/>
          <w:caps w:val="0"/>
          <w:noProof/>
          <w:sz w:val="22"/>
          <w:szCs w:val="22"/>
          <w:lang w:eastAsia="en-GB" w:bidi="ar-SA"/>
        </w:rPr>
      </w:pPr>
      <w:hyperlink w:anchor="_Toc524342539" w:history="1">
        <w:r w:rsidR="00330DA6" w:rsidRPr="00570400">
          <w:rPr>
            <w:rStyle w:val="Hyperlink"/>
            <w:noProof/>
          </w:rPr>
          <w:t>3 Hazard assessment</w:t>
        </w:r>
        <w:r w:rsidR="00330DA6">
          <w:rPr>
            <w:noProof/>
            <w:webHidden/>
          </w:rPr>
          <w:tab/>
        </w:r>
        <w:r w:rsidR="00330DA6">
          <w:rPr>
            <w:noProof/>
            <w:webHidden/>
          </w:rPr>
          <w:fldChar w:fldCharType="begin"/>
        </w:r>
        <w:r w:rsidR="00330DA6">
          <w:rPr>
            <w:noProof/>
            <w:webHidden/>
          </w:rPr>
          <w:instrText xml:space="preserve"> PAGEREF _Toc524342539 \h </w:instrText>
        </w:r>
        <w:r w:rsidR="00330DA6">
          <w:rPr>
            <w:noProof/>
            <w:webHidden/>
          </w:rPr>
        </w:r>
        <w:r w:rsidR="00330DA6">
          <w:rPr>
            <w:noProof/>
            <w:webHidden/>
          </w:rPr>
          <w:fldChar w:fldCharType="separate"/>
        </w:r>
        <w:r w:rsidR="00BB3A80">
          <w:rPr>
            <w:noProof/>
            <w:webHidden/>
          </w:rPr>
          <w:t>7</w:t>
        </w:r>
        <w:r w:rsidR="00330DA6">
          <w:rPr>
            <w:noProof/>
            <w:webHidden/>
          </w:rPr>
          <w:fldChar w:fldCharType="end"/>
        </w:r>
      </w:hyperlink>
    </w:p>
    <w:p w14:paraId="3D34BC01" w14:textId="43F1143E"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40" w:history="1">
        <w:r w:rsidR="00330DA6" w:rsidRPr="00570400">
          <w:rPr>
            <w:rStyle w:val="Hyperlink"/>
            <w:noProof/>
          </w:rPr>
          <w:t>3.1 Objectives for the hazard assessment</w:t>
        </w:r>
        <w:r w:rsidR="00330DA6">
          <w:rPr>
            <w:noProof/>
            <w:webHidden/>
          </w:rPr>
          <w:tab/>
        </w:r>
        <w:r w:rsidR="00330DA6">
          <w:rPr>
            <w:noProof/>
            <w:webHidden/>
          </w:rPr>
          <w:fldChar w:fldCharType="begin"/>
        </w:r>
        <w:r w:rsidR="00330DA6">
          <w:rPr>
            <w:noProof/>
            <w:webHidden/>
          </w:rPr>
          <w:instrText xml:space="preserve"> PAGEREF _Toc524342540 \h </w:instrText>
        </w:r>
        <w:r w:rsidR="00330DA6">
          <w:rPr>
            <w:noProof/>
            <w:webHidden/>
          </w:rPr>
        </w:r>
        <w:r w:rsidR="00330DA6">
          <w:rPr>
            <w:noProof/>
            <w:webHidden/>
          </w:rPr>
          <w:fldChar w:fldCharType="separate"/>
        </w:r>
        <w:r w:rsidR="00BB3A80">
          <w:rPr>
            <w:noProof/>
            <w:webHidden/>
          </w:rPr>
          <w:t>7</w:t>
        </w:r>
        <w:r w:rsidR="00330DA6">
          <w:rPr>
            <w:noProof/>
            <w:webHidden/>
          </w:rPr>
          <w:fldChar w:fldCharType="end"/>
        </w:r>
      </w:hyperlink>
    </w:p>
    <w:p w14:paraId="2B1D51F9" w14:textId="795722CD"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41" w:history="1">
        <w:r w:rsidR="00330DA6" w:rsidRPr="00570400">
          <w:rPr>
            <w:rStyle w:val="Hyperlink"/>
            <w:noProof/>
          </w:rPr>
          <w:t>3.1.1 Evaluation of the submitted data</w:t>
        </w:r>
        <w:r w:rsidR="00330DA6">
          <w:rPr>
            <w:noProof/>
            <w:webHidden/>
          </w:rPr>
          <w:tab/>
        </w:r>
        <w:r w:rsidR="00330DA6">
          <w:rPr>
            <w:noProof/>
            <w:webHidden/>
          </w:rPr>
          <w:fldChar w:fldCharType="begin"/>
        </w:r>
        <w:r w:rsidR="00330DA6">
          <w:rPr>
            <w:noProof/>
            <w:webHidden/>
          </w:rPr>
          <w:instrText xml:space="preserve"> PAGEREF _Toc524342541 \h </w:instrText>
        </w:r>
        <w:r w:rsidR="00330DA6">
          <w:rPr>
            <w:noProof/>
            <w:webHidden/>
          </w:rPr>
        </w:r>
        <w:r w:rsidR="00330DA6">
          <w:rPr>
            <w:noProof/>
            <w:webHidden/>
          </w:rPr>
          <w:fldChar w:fldCharType="separate"/>
        </w:r>
        <w:r w:rsidR="00BB3A80">
          <w:rPr>
            <w:noProof/>
            <w:webHidden/>
          </w:rPr>
          <w:t>7</w:t>
        </w:r>
        <w:r w:rsidR="00330DA6">
          <w:rPr>
            <w:noProof/>
            <w:webHidden/>
          </w:rPr>
          <w:fldChar w:fldCharType="end"/>
        </w:r>
      </w:hyperlink>
    </w:p>
    <w:p w14:paraId="1EDE8E9B" w14:textId="6F1B85BF"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42" w:history="1">
        <w:r w:rsidR="00330DA6" w:rsidRPr="00570400">
          <w:rPr>
            <w:rStyle w:val="Hyperlink"/>
            <w:noProof/>
          </w:rPr>
          <w:t>3.2 Toxicological data</w:t>
        </w:r>
        <w:r w:rsidR="00330DA6">
          <w:rPr>
            <w:noProof/>
            <w:webHidden/>
          </w:rPr>
          <w:tab/>
        </w:r>
        <w:r w:rsidR="00330DA6">
          <w:rPr>
            <w:noProof/>
            <w:webHidden/>
          </w:rPr>
          <w:fldChar w:fldCharType="begin"/>
        </w:r>
        <w:r w:rsidR="00330DA6">
          <w:rPr>
            <w:noProof/>
            <w:webHidden/>
          </w:rPr>
          <w:instrText xml:space="preserve"> PAGEREF _Toc524342542 \h </w:instrText>
        </w:r>
        <w:r w:rsidR="00330DA6">
          <w:rPr>
            <w:noProof/>
            <w:webHidden/>
          </w:rPr>
        </w:r>
        <w:r w:rsidR="00330DA6">
          <w:rPr>
            <w:noProof/>
            <w:webHidden/>
          </w:rPr>
          <w:fldChar w:fldCharType="separate"/>
        </w:r>
        <w:r w:rsidR="00BB3A80">
          <w:rPr>
            <w:noProof/>
            <w:webHidden/>
          </w:rPr>
          <w:t>8</w:t>
        </w:r>
        <w:r w:rsidR="00330DA6">
          <w:rPr>
            <w:noProof/>
            <w:webHidden/>
          </w:rPr>
          <w:fldChar w:fldCharType="end"/>
        </w:r>
      </w:hyperlink>
    </w:p>
    <w:p w14:paraId="5B119F48" w14:textId="6E8C0F54"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43" w:history="1">
        <w:r w:rsidR="00330DA6" w:rsidRPr="00570400">
          <w:rPr>
            <w:rStyle w:val="Hyperlink"/>
            <w:noProof/>
          </w:rPr>
          <w:t>3.2.1 Toxicokinetics and metabolism</w:t>
        </w:r>
        <w:r w:rsidR="00330DA6">
          <w:rPr>
            <w:noProof/>
            <w:webHidden/>
          </w:rPr>
          <w:tab/>
        </w:r>
        <w:r w:rsidR="00330DA6">
          <w:rPr>
            <w:noProof/>
            <w:webHidden/>
          </w:rPr>
          <w:fldChar w:fldCharType="begin"/>
        </w:r>
        <w:r w:rsidR="00330DA6">
          <w:rPr>
            <w:noProof/>
            <w:webHidden/>
          </w:rPr>
          <w:instrText xml:space="preserve"> PAGEREF _Toc524342543 \h </w:instrText>
        </w:r>
        <w:r w:rsidR="00330DA6">
          <w:rPr>
            <w:noProof/>
            <w:webHidden/>
          </w:rPr>
        </w:r>
        <w:r w:rsidR="00330DA6">
          <w:rPr>
            <w:noProof/>
            <w:webHidden/>
          </w:rPr>
          <w:fldChar w:fldCharType="separate"/>
        </w:r>
        <w:r w:rsidR="00BB3A80">
          <w:rPr>
            <w:noProof/>
            <w:webHidden/>
          </w:rPr>
          <w:t>8</w:t>
        </w:r>
        <w:r w:rsidR="00330DA6">
          <w:rPr>
            <w:noProof/>
            <w:webHidden/>
          </w:rPr>
          <w:fldChar w:fldCharType="end"/>
        </w:r>
      </w:hyperlink>
    </w:p>
    <w:p w14:paraId="4E18783A" w14:textId="2197E2A1"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44" w:history="1">
        <w:r w:rsidR="00330DA6" w:rsidRPr="00570400">
          <w:rPr>
            <w:rStyle w:val="Hyperlink"/>
            <w:noProof/>
          </w:rPr>
          <w:t>3.2.2 Acute toxicity studies in animals</w:t>
        </w:r>
        <w:r w:rsidR="00330DA6">
          <w:rPr>
            <w:noProof/>
            <w:webHidden/>
          </w:rPr>
          <w:tab/>
        </w:r>
        <w:r w:rsidR="00330DA6">
          <w:rPr>
            <w:noProof/>
            <w:webHidden/>
          </w:rPr>
          <w:fldChar w:fldCharType="begin"/>
        </w:r>
        <w:r w:rsidR="00330DA6">
          <w:rPr>
            <w:noProof/>
            <w:webHidden/>
          </w:rPr>
          <w:instrText xml:space="preserve"> PAGEREF _Toc524342544 \h </w:instrText>
        </w:r>
        <w:r w:rsidR="00330DA6">
          <w:rPr>
            <w:noProof/>
            <w:webHidden/>
          </w:rPr>
        </w:r>
        <w:r w:rsidR="00330DA6">
          <w:rPr>
            <w:noProof/>
            <w:webHidden/>
          </w:rPr>
          <w:fldChar w:fldCharType="separate"/>
        </w:r>
        <w:r w:rsidR="00BB3A80">
          <w:rPr>
            <w:noProof/>
            <w:webHidden/>
          </w:rPr>
          <w:t>10</w:t>
        </w:r>
        <w:r w:rsidR="00330DA6">
          <w:rPr>
            <w:noProof/>
            <w:webHidden/>
          </w:rPr>
          <w:fldChar w:fldCharType="end"/>
        </w:r>
      </w:hyperlink>
    </w:p>
    <w:p w14:paraId="1BC93891" w14:textId="0F7A88D8"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45" w:history="1">
        <w:r w:rsidR="00330DA6" w:rsidRPr="00570400">
          <w:rPr>
            <w:rStyle w:val="Hyperlink"/>
            <w:noProof/>
          </w:rPr>
          <w:t>3.2.3 Short-term toxicity studies in animals</w:t>
        </w:r>
        <w:r w:rsidR="00330DA6">
          <w:rPr>
            <w:noProof/>
            <w:webHidden/>
          </w:rPr>
          <w:tab/>
        </w:r>
        <w:r w:rsidR="00330DA6">
          <w:rPr>
            <w:noProof/>
            <w:webHidden/>
          </w:rPr>
          <w:fldChar w:fldCharType="begin"/>
        </w:r>
        <w:r w:rsidR="00330DA6">
          <w:rPr>
            <w:noProof/>
            <w:webHidden/>
          </w:rPr>
          <w:instrText xml:space="preserve"> PAGEREF _Toc524342545 \h </w:instrText>
        </w:r>
        <w:r w:rsidR="00330DA6">
          <w:rPr>
            <w:noProof/>
            <w:webHidden/>
          </w:rPr>
        </w:r>
        <w:r w:rsidR="00330DA6">
          <w:rPr>
            <w:noProof/>
            <w:webHidden/>
          </w:rPr>
          <w:fldChar w:fldCharType="separate"/>
        </w:r>
        <w:r w:rsidR="00BB3A80">
          <w:rPr>
            <w:noProof/>
            <w:webHidden/>
          </w:rPr>
          <w:t>10</w:t>
        </w:r>
        <w:r w:rsidR="00330DA6">
          <w:rPr>
            <w:noProof/>
            <w:webHidden/>
          </w:rPr>
          <w:fldChar w:fldCharType="end"/>
        </w:r>
      </w:hyperlink>
    </w:p>
    <w:p w14:paraId="118BD0F2" w14:textId="42D25225"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46" w:history="1">
        <w:r w:rsidR="00330DA6" w:rsidRPr="00570400">
          <w:rPr>
            <w:rStyle w:val="Hyperlink"/>
            <w:noProof/>
          </w:rPr>
          <w:t>3.2.4 Chronic toxicity and carcinogenicity</w:t>
        </w:r>
        <w:r w:rsidR="00330DA6">
          <w:rPr>
            <w:noProof/>
            <w:webHidden/>
          </w:rPr>
          <w:tab/>
        </w:r>
        <w:r w:rsidR="00330DA6">
          <w:rPr>
            <w:noProof/>
            <w:webHidden/>
          </w:rPr>
          <w:fldChar w:fldCharType="begin"/>
        </w:r>
        <w:r w:rsidR="00330DA6">
          <w:rPr>
            <w:noProof/>
            <w:webHidden/>
          </w:rPr>
          <w:instrText xml:space="preserve"> PAGEREF _Toc524342546 \h </w:instrText>
        </w:r>
        <w:r w:rsidR="00330DA6">
          <w:rPr>
            <w:noProof/>
            <w:webHidden/>
          </w:rPr>
        </w:r>
        <w:r w:rsidR="00330DA6">
          <w:rPr>
            <w:noProof/>
            <w:webHidden/>
          </w:rPr>
          <w:fldChar w:fldCharType="separate"/>
        </w:r>
        <w:r w:rsidR="00BB3A80">
          <w:rPr>
            <w:noProof/>
            <w:webHidden/>
          </w:rPr>
          <w:t>12</w:t>
        </w:r>
        <w:r w:rsidR="00330DA6">
          <w:rPr>
            <w:noProof/>
            <w:webHidden/>
          </w:rPr>
          <w:fldChar w:fldCharType="end"/>
        </w:r>
      </w:hyperlink>
    </w:p>
    <w:p w14:paraId="3BDB8538" w14:textId="15A4C386"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47" w:history="1">
        <w:r w:rsidR="00330DA6" w:rsidRPr="00570400">
          <w:rPr>
            <w:rStyle w:val="Hyperlink"/>
            <w:noProof/>
          </w:rPr>
          <w:t>3.2.5 Genotoxicity</w:t>
        </w:r>
        <w:r w:rsidR="00330DA6">
          <w:rPr>
            <w:noProof/>
            <w:webHidden/>
          </w:rPr>
          <w:tab/>
        </w:r>
        <w:r w:rsidR="00330DA6">
          <w:rPr>
            <w:noProof/>
            <w:webHidden/>
          </w:rPr>
          <w:fldChar w:fldCharType="begin"/>
        </w:r>
        <w:r w:rsidR="00330DA6">
          <w:rPr>
            <w:noProof/>
            <w:webHidden/>
          </w:rPr>
          <w:instrText xml:space="preserve"> PAGEREF _Toc524342547 \h </w:instrText>
        </w:r>
        <w:r w:rsidR="00330DA6">
          <w:rPr>
            <w:noProof/>
            <w:webHidden/>
          </w:rPr>
        </w:r>
        <w:r w:rsidR="00330DA6">
          <w:rPr>
            <w:noProof/>
            <w:webHidden/>
          </w:rPr>
          <w:fldChar w:fldCharType="separate"/>
        </w:r>
        <w:r w:rsidR="00BB3A80">
          <w:rPr>
            <w:noProof/>
            <w:webHidden/>
          </w:rPr>
          <w:t>12</w:t>
        </w:r>
        <w:r w:rsidR="00330DA6">
          <w:rPr>
            <w:noProof/>
            <w:webHidden/>
          </w:rPr>
          <w:fldChar w:fldCharType="end"/>
        </w:r>
      </w:hyperlink>
    </w:p>
    <w:p w14:paraId="6F927CBF" w14:textId="74024790"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48" w:history="1">
        <w:r w:rsidR="00330DA6" w:rsidRPr="00570400">
          <w:rPr>
            <w:rStyle w:val="Hyperlink"/>
            <w:noProof/>
          </w:rPr>
          <w:t>3.2.6 Developmental and reproductive toxicity</w:t>
        </w:r>
        <w:r w:rsidR="00330DA6">
          <w:rPr>
            <w:noProof/>
            <w:webHidden/>
          </w:rPr>
          <w:tab/>
        </w:r>
        <w:r w:rsidR="00330DA6">
          <w:rPr>
            <w:noProof/>
            <w:webHidden/>
          </w:rPr>
          <w:fldChar w:fldCharType="begin"/>
        </w:r>
        <w:r w:rsidR="00330DA6">
          <w:rPr>
            <w:noProof/>
            <w:webHidden/>
          </w:rPr>
          <w:instrText xml:space="preserve"> PAGEREF _Toc524342548 \h </w:instrText>
        </w:r>
        <w:r w:rsidR="00330DA6">
          <w:rPr>
            <w:noProof/>
            <w:webHidden/>
          </w:rPr>
        </w:r>
        <w:r w:rsidR="00330DA6">
          <w:rPr>
            <w:noProof/>
            <w:webHidden/>
          </w:rPr>
          <w:fldChar w:fldCharType="separate"/>
        </w:r>
        <w:r w:rsidR="00BB3A80">
          <w:rPr>
            <w:noProof/>
            <w:webHidden/>
          </w:rPr>
          <w:t>13</w:t>
        </w:r>
        <w:r w:rsidR="00330DA6">
          <w:rPr>
            <w:noProof/>
            <w:webHidden/>
          </w:rPr>
          <w:fldChar w:fldCharType="end"/>
        </w:r>
      </w:hyperlink>
    </w:p>
    <w:p w14:paraId="61C8AF8F" w14:textId="51F4C9B4"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49" w:history="1">
        <w:r w:rsidR="00330DA6" w:rsidRPr="00570400">
          <w:rPr>
            <w:rStyle w:val="Hyperlink"/>
            <w:noProof/>
            <w:lang w:val="en-AU"/>
          </w:rPr>
          <w:t>3.2.7 Special studies</w:t>
        </w:r>
        <w:r w:rsidR="00330DA6">
          <w:rPr>
            <w:noProof/>
            <w:webHidden/>
          </w:rPr>
          <w:tab/>
        </w:r>
        <w:r w:rsidR="00330DA6">
          <w:rPr>
            <w:noProof/>
            <w:webHidden/>
          </w:rPr>
          <w:fldChar w:fldCharType="begin"/>
        </w:r>
        <w:r w:rsidR="00330DA6">
          <w:rPr>
            <w:noProof/>
            <w:webHidden/>
          </w:rPr>
          <w:instrText xml:space="preserve"> PAGEREF _Toc524342549 \h </w:instrText>
        </w:r>
        <w:r w:rsidR="00330DA6">
          <w:rPr>
            <w:noProof/>
            <w:webHidden/>
          </w:rPr>
        </w:r>
        <w:r w:rsidR="00330DA6">
          <w:rPr>
            <w:noProof/>
            <w:webHidden/>
          </w:rPr>
          <w:fldChar w:fldCharType="separate"/>
        </w:r>
        <w:r w:rsidR="00BB3A80">
          <w:rPr>
            <w:noProof/>
            <w:webHidden/>
          </w:rPr>
          <w:t>13</w:t>
        </w:r>
        <w:r w:rsidR="00330DA6">
          <w:rPr>
            <w:noProof/>
            <w:webHidden/>
          </w:rPr>
          <w:fldChar w:fldCharType="end"/>
        </w:r>
      </w:hyperlink>
    </w:p>
    <w:p w14:paraId="6B03EAAC" w14:textId="6DA39C81"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50" w:history="1">
        <w:r w:rsidR="00330DA6" w:rsidRPr="00570400">
          <w:rPr>
            <w:rStyle w:val="Hyperlink"/>
            <w:noProof/>
            <w:lang w:val="en-AU"/>
          </w:rPr>
          <w:t>3.3 Assessments by other agencies</w:t>
        </w:r>
        <w:r w:rsidR="00330DA6">
          <w:rPr>
            <w:noProof/>
            <w:webHidden/>
          </w:rPr>
          <w:tab/>
        </w:r>
        <w:r w:rsidR="00330DA6">
          <w:rPr>
            <w:noProof/>
            <w:webHidden/>
          </w:rPr>
          <w:fldChar w:fldCharType="begin"/>
        </w:r>
        <w:r w:rsidR="00330DA6">
          <w:rPr>
            <w:noProof/>
            <w:webHidden/>
          </w:rPr>
          <w:instrText xml:space="preserve"> PAGEREF _Toc524342550 \h </w:instrText>
        </w:r>
        <w:r w:rsidR="00330DA6">
          <w:rPr>
            <w:noProof/>
            <w:webHidden/>
          </w:rPr>
        </w:r>
        <w:r w:rsidR="00330DA6">
          <w:rPr>
            <w:noProof/>
            <w:webHidden/>
          </w:rPr>
          <w:fldChar w:fldCharType="separate"/>
        </w:r>
        <w:r w:rsidR="00BB3A80">
          <w:rPr>
            <w:noProof/>
            <w:webHidden/>
          </w:rPr>
          <w:t>13</w:t>
        </w:r>
        <w:r w:rsidR="00330DA6">
          <w:rPr>
            <w:noProof/>
            <w:webHidden/>
          </w:rPr>
          <w:fldChar w:fldCharType="end"/>
        </w:r>
      </w:hyperlink>
    </w:p>
    <w:p w14:paraId="104EADA4" w14:textId="03AF3624" w:rsidR="00330DA6" w:rsidRDefault="003E4572">
      <w:pPr>
        <w:pStyle w:val="TOC1"/>
        <w:tabs>
          <w:tab w:val="right" w:leader="dot" w:pos="9060"/>
        </w:tabs>
        <w:rPr>
          <w:rFonts w:eastAsiaTheme="minorEastAsia" w:cstheme="minorBidi"/>
          <w:b w:val="0"/>
          <w:bCs w:val="0"/>
          <w:caps w:val="0"/>
          <w:noProof/>
          <w:sz w:val="22"/>
          <w:szCs w:val="22"/>
          <w:lang w:eastAsia="en-GB" w:bidi="ar-SA"/>
        </w:rPr>
      </w:pPr>
      <w:hyperlink w:anchor="_Toc524342551" w:history="1">
        <w:r w:rsidR="00330DA6" w:rsidRPr="00570400">
          <w:rPr>
            <w:rStyle w:val="Hyperlink"/>
            <w:noProof/>
          </w:rPr>
          <w:t>4 Dietary exposure assessment</w:t>
        </w:r>
        <w:r w:rsidR="00330DA6">
          <w:rPr>
            <w:noProof/>
            <w:webHidden/>
          </w:rPr>
          <w:tab/>
        </w:r>
        <w:r w:rsidR="00330DA6">
          <w:rPr>
            <w:noProof/>
            <w:webHidden/>
          </w:rPr>
          <w:fldChar w:fldCharType="begin"/>
        </w:r>
        <w:r w:rsidR="00330DA6">
          <w:rPr>
            <w:noProof/>
            <w:webHidden/>
          </w:rPr>
          <w:instrText xml:space="preserve"> PAGEREF _Toc524342551 \h </w:instrText>
        </w:r>
        <w:r w:rsidR="00330DA6">
          <w:rPr>
            <w:noProof/>
            <w:webHidden/>
          </w:rPr>
        </w:r>
        <w:r w:rsidR="00330DA6">
          <w:rPr>
            <w:noProof/>
            <w:webHidden/>
          </w:rPr>
          <w:fldChar w:fldCharType="separate"/>
        </w:r>
        <w:r w:rsidR="00BB3A80">
          <w:rPr>
            <w:noProof/>
            <w:webHidden/>
          </w:rPr>
          <w:t>14</w:t>
        </w:r>
        <w:r w:rsidR="00330DA6">
          <w:rPr>
            <w:noProof/>
            <w:webHidden/>
          </w:rPr>
          <w:fldChar w:fldCharType="end"/>
        </w:r>
      </w:hyperlink>
    </w:p>
    <w:p w14:paraId="35682872" w14:textId="27B76E26"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52" w:history="1">
        <w:r w:rsidR="00330DA6" w:rsidRPr="00570400">
          <w:rPr>
            <w:rStyle w:val="Hyperlink"/>
            <w:noProof/>
          </w:rPr>
          <w:t>4.1 Objective for the dietary exposure assessment</w:t>
        </w:r>
        <w:r w:rsidR="00330DA6">
          <w:rPr>
            <w:noProof/>
            <w:webHidden/>
          </w:rPr>
          <w:tab/>
        </w:r>
        <w:r w:rsidR="00330DA6">
          <w:rPr>
            <w:noProof/>
            <w:webHidden/>
          </w:rPr>
          <w:fldChar w:fldCharType="begin"/>
        </w:r>
        <w:r w:rsidR="00330DA6">
          <w:rPr>
            <w:noProof/>
            <w:webHidden/>
          </w:rPr>
          <w:instrText xml:space="preserve"> PAGEREF _Toc524342552 \h </w:instrText>
        </w:r>
        <w:r w:rsidR="00330DA6">
          <w:rPr>
            <w:noProof/>
            <w:webHidden/>
          </w:rPr>
        </w:r>
        <w:r w:rsidR="00330DA6">
          <w:rPr>
            <w:noProof/>
            <w:webHidden/>
          </w:rPr>
          <w:fldChar w:fldCharType="separate"/>
        </w:r>
        <w:r w:rsidR="00BB3A80">
          <w:rPr>
            <w:noProof/>
            <w:webHidden/>
          </w:rPr>
          <w:t>14</w:t>
        </w:r>
        <w:r w:rsidR="00330DA6">
          <w:rPr>
            <w:noProof/>
            <w:webHidden/>
          </w:rPr>
          <w:fldChar w:fldCharType="end"/>
        </w:r>
      </w:hyperlink>
    </w:p>
    <w:p w14:paraId="77E47C45" w14:textId="5EC5285A"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53" w:history="1">
        <w:r w:rsidR="00330DA6" w:rsidRPr="00570400">
          <w:rPr>
            <w:rStyle w:val="Hyperlink"/>
            <w:noProof/>
          </w:rPr>
          <w:t>4.2 Methodology and approach for dietary exposure assessment</w:t>
        </w:r>
        <w:r w:rsidR="00330DA6">
          <w:rPr>
            <w:noProof/>
            <w:webHidden/>
          </w:rPr>
          <w:tab/>
        </w:r>
        <w:r w:rsidR="00330DA6">
          <w:rPr>
            <w:noProof/>
            <w:webHidden/>
          </w:rPr>
          <w:fldChar w:fldCharType="begin"/>
        </w:r>
        <w:r w:rsidR="00330DA6">
          <w:rPr>
            <w:noProof/>
            <w:webHidden/>
          </w:rPr>
          <w:instrText xml:space="preserve"> PAGEREF _Toc524342553 \h </w:instrText>
        </w:r>
        <w:r w:rsidR="00330DA6">
          <w:rPr>
            <w:noProof/>
            <w:webHidden/>
          </w:rPr>
        </w:r>
        <w:r w:rsidR="00330DA6">
          <w:rPr>
            <w:noProof/>
            <w:webHidden/>
          </w:rPr>
          <w:fldChar w:fldCharType="separate"/>
        </w:r>
        <w:r w:rsidR="00BB3A80">
          <w:rPr>
            <w:noProof/>
            <w:webHidden/>
          </w:rPr>
          <w:t>14</w:t>
        </w:r>
        <w:r w:rsidR="00330DA6">
          <w:rPr>
            <w:noProof/>
            <w:webHidden/>
          </w:rPr>
          <w:fldChar w:fldCharType="end"/>
        </w:r>
      </w:hyperlink>
    </w:p>
    <w:p w14:paraId="138061A0" w14:textId="303D4C3B"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54" w:history="1">
        <w:r w:rsidR="00330DA6" w:rsidRPr="00570400">
          <w:rPr>
            <w:rStyle w:val="Hyperlink"/>
            <w:noProof/>
          </w:rPr>
          <w:t>4.3 Food consumption data used</w:t>
        </w:r>
        <w:r w:rsidR="00330DA6">
          <w:rPr>
            <w:noProof/>
            <w:webHidden/>
          </w:rPr>
          <w:tab/>
        </w:r>
        <w:r w:rsidR="00330DA6">
          <w:rPr>
            <w:noProof/>
            <w:webHidden/>
          </w:rPr>
          <w:fldChar w:fldCharType="begin"/>
        </w:r>
        <w:r w:rsidR="00330DA6">
          <w:rPr>
            <w:noProof/>
            <w:webHidden/>
          </w:rPr>
          <w:instrText xml:space="preserve"> PAGEREF _Toc524342554 \h </w:instrText>
        </w:r>
        <w:r w:rsidR="00330DA6">
          <w:rPr>
            <w:noProof/>
            <w:webHidden/>
          </w:rPr>
        </w:r>
        <w:r w:rsidR="00330DA6">
          <w:rPr>
            <w:noProof/>
            <w:webHidden/>
          </w:rPr>
          <w:fldChar w:fldCharType="separate"/>
        </w:r>
        <w:r w:rsidR="00BB3A80">
          <w:rPr>
            <w:noProof/>
            <w:webHidden/>
          </w:rPr>
          <w:t>14</w:t>
        </w:r>
        <w:r w:rsidR="00330DA6">
          <w:rPr>
            <w:noProof/>
            <w:webHidden/>
          </w:rPr>
          <w:fldChar w:fldCharType="end"/>
        </w:r>
      </w:hyperlink>
    </w:p>
    <w:p w14:paraId="3F2DE2A9" w14:textId="7C50AC91"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55" w:history="1">
        <w:r w:rsidR="00330DA6" w:rsidRPr="00570400">
          <w:rPr>
            <w:rStyle w:val="Hyperlink"/>
            <w:noProof/>
          </w:rPr>
          <w:t>4.4 Assumptions and limitations of the dietary exposure assessment</w:t>
        </w:r>
        <w:r w:rsidR="00330DA6">
          <w:rPr>
            <w:noProof/>
            <w:webHidden/>
          </w:rPr>
          <w:tab/>
        </w:r>
        <w:r w:rsidR="00330DA6">
          <w:rPr>
            <w:noProof/>
            <w:webHidden/>
          </w:rPr>
          <w:fldChar w:fldCharType="begin"/>
        </w:r>
        <w:r w:rsidR="00330DA6">
          <w:rPr>
            <w:noProof/>
            <w:webHidden/>
          </w:rPr>
          <w:instrText xml:space="preserve"> PAGEREF _Toc524342555 \h </w:instrText>
        </w:r>
        <w:r w:rsidR="00330DA6">
          <w:rPr>
            <w:noProof/>
            <w:webHidden/>
          </w:rPr>
        </w:r>
        <w:r w:rsidR="00330DA6">
          <w:rPr>
            <w:noProof/>
            <w:webHidden/>
          </w:rPr>
          <w:fldChar w:fldCharType="separate"/>
        </w:r>
        <w:r w:rsidR="00BB3A80">
          <w:rPr>
            <w:noProof/>
            <w:webHidden/>
          </w:rPr>
          <w:t>15</w:t>
        </w:r>
        <w:r w:rsidR="00330DA6">
          <w:rPr>
            <w:noProof/>
            <w:webHidden/>
          </w:rPr>
          <w:fldChar w:fldCharType="end"/>
        </w:r>
      </w:hyperlink>
    </w:p>
    <w:p w14:paraId="5E5D3553" w14:textId="1E5914DD"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56" w:history="1">
        <w:r w:rsidR="00330DA6" w:rsidRPr="00570400">
          <w:rPr>
            <w:rStyle w:val="Hyperlink"/>
            <w:noProof/>
          </w:rPr>
          <w:t>4.5 Dietary exposure assessment results</w:t>
        </w:r>
        <w:r w:rsidR="00330DA6">
          <w:rPr>
            <w:noProof/>
            <w:webHidden/>
          </w:rPr>
          <w:tab/>
        </w:r>
        <w:r w:rsidR="00330DA6">
          <w:rPr>
            <w:noProof/>
            <w:webHidden/>
          </w:rPr>
          <w:fldChar w:fldCharType="begin"/>
        </w:r>
        <w:r w:rsidR="00330DA6">
          <w:rPr>
            <w:noProof/>
            <w:webHidden/>
          </w:rPr>
          <w:instrText xml:space="preserve"> PAGEREF _Toc524342556 \h </w:instrText>
        </w:r>
        <w:r w:rsidR="00330DA6">
          <w:rPr>
            <w:noProof/>
            <w:webHidden/>
          </w:rPr>
        </w:r>
        <w:r w:rsidR="00330DA6">
          <w:rPr>
            <w:noProof/>
            <w:webHidden/>
          </w:rPr>
          <w:fldChar w:fldCharType="separate"/>
        </w:r>
        <w:r w:rsidR="00BB3A80">
          <w:rPr>
            <w:noProof/>
            <w:webHidden/>
          </w:rPr>
          <w:t>16</w:t>
        </w:r>
        <w:r w:rsidR="00330DA6">
          <w:rPr>
            <w:noProof/>
            <w:webHidden/>
          </w:rPr>
          <w:fldChar w:fldCharType="end"/>
        </w:r>
      </w:hyperlink>
    </w:p>
    <w:p w14:paraId="38D39961" w14:textId="4F919D15" w:rsidR="00330DA6" w:rsidRDefault="003E4572">
      <w:pPr>
        <w:pStyle w:val="TOC1"/>
        <w:tabs>
          <w:tab w:val="right" w:leader="dot" w:pos="9060"/>
        </w:tabs>
        <w:rPr>
          <w:rFonts w:eastAsiaTheme="minorEastAsia" w:cstheme="minorBidi"/>
          <w:b w:val="0"/>
          <w:bCs w:val="0"/>
          <w:caps w:val="0"/>
          <w:noProof/>
          <w:sz w:val="22"/>
          <w:szCs w:val="22"/>
          <w:lang w:eastAsia="en-GB" w:bidi="ar-SA"/>
        </w:rPr>
      </w:pPr>
      <w:hyperlink w:anchor="_Toc524342557" w:history="1">
        <w:r w:rsidR="00330DA6" w:rsidRPr="00570400">
          <w:rPr>
            <w:rStyle w:val="Hyperlink"/>
            <w:noProof/>
          </w:rPr>
          <w:t>5 Hazard and dietary exposure assessment discussion</w:t>
        </w:r>
        <w:r w:rsidR="00330DA6">
          <w:rPr>
            <w:noProof/>
            <w:webHidden/>
          </w:rPr>
          <w:tab/>
        </w:r>
        <w:r w:rsidR="00330DA6">
          <w:rPr>
            <w:noProof/>
            <w:webHidden/>
          </w:rPr>
          <w:fldChar w:fldCharType="begin"/>
        </w:r>
        <w:r w:rsidR="00330DA6">
          <w:rPr>
            <w:noProof/>
            <w:webHidden/>
          </w:rPr>
          <w:instrText xml:space="preserve"> PAGEREF _Toc524342557 \h </w:instrText>
        </w:r>
        <w:r w:rsidR="00330DA6">
          <w:rPr>
            <w:noProof/>
            <w:webHidden/>
          </w:rPr>
        </w:r>
        <w:r w:rsidR="00330DA6">
          <w:rPr>
            <w:noProof/>
            <w:webHidden/>
          </w:rPr>
          <w:fldChar w:fldCharType="separate"/>
        </w:r>
        <w:r w:rsidR="00BB3A80">
          <w:rPr>
            <w:noProof/>
            <w:webHidden/>
          </w:rPr>
          <w:t>18</w:t>
        </w:r>
        <w:r w:rsidR="00330DA6">
          <w:rPr>
            <w:noProof/>
            <w:webHidden/>
          </w:rPr>
          <w:fldChar w:fldCharType="end"/>
        </w:r>
      </w:hyperlink>
    </w:p>
    <w:p w14:paraId="28AFEB1E" w14:textId="6F757933"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58" w:history="1">
        <w:r w:rsidR="00330DA6" w:rsidRPr="00570400">
          <w:rPr>
            <w:rStyle w:val="Hyperlink"/>
            <w:noProof/>
          </w:rPr>
          <w:t>5.1 Hazard and dietary assessment conclusions</w:t>
        </w:r>
        <w:r w:rsidR="00330DA6">
          <w:rPr>
            <w:noProof/>
            <w:webHidden/>
          </w:rPr>
          <w:tab/>
        </w:r>
        <w:r w:rsidR="00330DA6">
          <w:rPr>
            <w:noProof/>
            <w:webHidden/>
          </w:rPr>
          <w:fldChar w:fldCharType="begin"/>
        </w:r>
        <w:r w:rsidR="00330DA6">
          <w:rPr>
            <w:noProof/>
            <w:webHidden/>
          </w:rPr>
          <w:instrText xml:space="preserve"> PAGEREF _Toc524342558 \h </w:instrText>
        </w:r>
        <w:r w:rsidR="00330DA6">
          <w:rPr>
            <w:noProof/>
            <w:webHidden/>
          </w:rPr>
        </w:r>
        <w:r w:rsidR="00330DA6">
          <w:rPr>
            <w:noProof/>
            <w:webHidden/>
          </w:rPr>
          <w:fldChar w:fldCharType="separate"/>
        </w:r>
        <w:r w:rsidR="00BB3A80">
          <w:rPr>
            <w:noProof/>
            <w:webHidden/>
          </w:rPr>
          <w:t>18</w:t>
        </w:r>
        <w:r w:rsidR="00330DA6">
          <w:rPr>
            <w:noProof/>
            <w:webHidden/>
          </w:rPr>
          <w:fldChar w:fldCharType="end"/>
        </w:r>
      </w:hyperlink>
    </w:p>
    <w:p w14:paraId="7FDB9F4F" w14:textId="04B72219" w:rsidR="00330DA6" w:rsidRDefault="003E4572">
      <w:pPr>
        <w:pStyle w:val="TOC1"/>
        <w:tabs>
          <w:tab w:val="right" w:leader="dot" w:pos="9060"/>
        </w:tabs>
        <w:rPr>
          <w:rFonts w:eastAsiaTheme="minorEastAsia" w:cstheme="minorBidi"/>
          <w:b w:val="0"/>
          <w:bCs w:val="0"/>
          <w:caps w:val="0"/>
          <w:noProof/>
          <w:sz w:val="22"/>
          <w:szCs w:val="22"/>
          <w:lang w:eastAsia="en-GB" w:bidi="ar-SA"/>
        </w:rPr>
      </w:pPr>
      <w:hyperlink w:anchor="_Toc524342559" w:history="1">
        <w:r w:rsidR="00330DA6" w:rsidRPr="00570400">
          <w:rPr>
            <w:rStyle w:val="Hyperlink"/>
            <w:noProof/>
          </w:rPr>
          <w:t>6 References</w:t>
        </w:r>
        <w:r w:rsidR="00330DA6">
          <w:rPr>
            <w:noProof/>
            <w:webHidden/>
          </w:rPr>
          <w:tab/>
        </w:r>
        <w:r w:rsidR="00330DA6">
          <w:rPr>
            <w:noProof/>
            <w:webHidden/>
          </w:rPr>
          <w:fldChar w:fldCharType="begin"/>
        </w:r>
        <w:r w:rsidR="00330DA6">
          <w:rPr>
            <w:noProof/>
            <w:webHidden/>
          </w:rPr>
          <w:instrText xml:space="preserve"> PAGEREF _Toc524342559 \h </w:instrText>
        </w:r>
        <w:r w:rsidR="00330DA6">
          <w:rPr>
            <w:noProof/>
            <w:webHidden/>
          </w:rPr>
        </w:r>
        <w:r w:rsidR="00330DA6">
          <w:rPr>
            <w:noProof/>
            <w:webHidden/>
          </w:rPr>
          <w:fldChar w:fldCharType="separate"/>
        </w:r>
        <w:r w:rsidR="00BB3A80">
          <w:rPr>
            <w:noProof/>
            <w:webHidden/>
          </w:rPr>
          <w:t>19</w:t>
        </w:r>
        <w:r w:rsidR="00330DA6">
          <w:rPr>
            <w:noProof/>
            <w:webHidden/>
          </w:rPr>
          <w:fldChar w:fldCharType="end"/>
        </w:r>
      </w:hyperlink>
    </w:p>
    <w:p w14:paraId="277B897E" w14:textId="275B7694" w:rsidR="00330DA6" w:rsidRDefault="003E4572">
      <w:pPr>
        <w:pStyle w:val="TOC1"/>
        <w:tabs>
          <w:tab w:val="right" w:leader="dot" w:pos="9060"/>
        </w:tabs>
        <w:rPr>
          <w:rFonts w:eastAsiaTheme="minorEastAsia" w:cstheme="minorBidi"/>
          <w:b w:val="0"/>
          <w:bCs w:val="0"/>
          <w:caps w:val="0"/>
          <w:noProof/>
          <w:sz w:val="22"/>
          <w:szCs w:val="22"/>
          <w:lang w:eastAsia="en-GB" w:bidi="ar-SA"/>
        </w:rPr>
      </w:pPr>
      <w:hyperlink w:anchor="_Toc524342560" w:history="1">
        <w:r w:rsidR="00330DA6" w:rsidRPr="00570400">
          <w:rPr>
            <w:rStyle w:val="Hyperlink"/>
            <w:noProof/>
          </w:rPr>
          <w:t>Appendix 1 Dietary exposure assessments at FSANZ</w:t>
        </w:r>
        <w:r w:rsidR="00330DA6">
          <w:rPr>
            <w:noProof/>
            <w:webHidden/>
          </w:rPr>
          <w:tab/>
        </w:r>
        <w:r w:rsidR="00330DA6">
          <w:rPr>
            <w:noProof/>
            <w:webHidden/>
          </w:rPr>
          <w:fldChar w:fldCharType="begin"/>
        </w:r>
        <w:r w:rsidR="00330DA6">
          <w:rPr>
            <w:noProof/>
            <w:webHidden/>
          </w:rPr>
          <w:instrText xml:space="preserve"> PAGEREF _Toc524342560 \h </w:instrText>
        </w:r>
        <w:r w:rsidR="00330DA6">
          <w:rPr>
            <w:noProof/>
            <w:webHidden/>
          </w:rPr>
        </w:r>
        <w:r w:rsidR="00330DA6">
          <w:rPr>
            <w:noProof/>
            <w:webHidden/>
          </w:rPr>
          <w:fldChar w:fldCharType="separate"/>
        </w:r>
        <w:r w:rsidR="00BB3A80">
          <w:rPr>
            <w:noProof/>
            <w:webHidden/>
          </w:rPr>
          <w:t>21</w:t>
        </w:r>
        <w:r w:rsidR="00330DA6">
          <w:rPr>
            <w:noProof/>
            <w:webHidden/>
          </w:rPr>
          <w:fldChar w:fldCharType="end"/>
        </w:r>
      </w:hyperlink>
    </w:p>
    <w:p w14:paraId="495680E9" w14:textId="1FAD35CE" w:rsidR="00330DA6" w:rsidRDefault="003E4572">
      <w:pPr>
        <w:pStyle w:val="TOC2"/>
        <w:tabs>
          <w:tab w:val="right" w:leader="dot" w:pos="9060"/>
        </w:tabs>
        <w:rPr>
          <w:rFonts w:eastAsiaTheme="minorEastAsia" w:cstheme="minorBidi"/>
          <w:smallCaps w:val="0"/>
          <w:noProof/>
          <w:sz w:val="22"/>
          <w:szCs w:val="22"/>
          <w:lang w:eastAsia="en-GB" w:bidi="ar-SA"/>
        </w:rPr>
      </w:pPr>
      <w:hyperlink w:anchor="_Toc524342561" w:history="1">
        <w:r w:rsidR="00330DA6" w:rsidRPr="00570400">
          <w:rPr>
            <w:rStyle w:val="Hyperlink"/>
            <w:noProof/>
          </w:rPr>
          <w:t>1.1 Food consumption data used</w:t>
        </w:r>
        <w:r w:rsidR="00330DA6">
          <w:rPr>
            <w:noProof/>
            <w:webHidden/>
          </w:rPr>
          <w:tab/>
        </w:r>
        <w:r w:rsidR="00330DA6">
          <w:rPr>
            <w:noProof/>
            <w:webHidden/>
          </w:rPr>
          <w:fldChar w:fldCharType="begin"/>
        </w:r>
        <w:r w:rsidR="00330DA6">
          <w:rPr>
            <w:noProof/>
            <w:webHidden/>
          </w:rPr>
          <w:instrText xml:space="preserve"> PAGEREF _Toc524342561 \h </w:instrText>
        </w:r>
        <w:r w:rsidR="00330DA6">
          <w:rPr>
            <w:noProof/>
            <w:webHidden/>
          </w:rPr>
        </w:r>
        <w:r w:rsidR="00330DA6">
          <w:rPr>
            <w:noProof/>
            <w:webHidden/>
          </w:rPr>
          <w:fldChar w:fldCharType="separate"/>
        </w:r>
        <w:r w:rsidR="00BB3A80">
          <w:rPr>
            <w:noProof/>
            <w:webHidden/>
          </w:rPr>
          <w:t>21</w:t>
        </w:r>
        <w:r w:rsidR="00330DA6">
          <w:rPr>
            <w:noProof/>
            <w:webHidden/>
          </w:rPr>
          <w:fldChar w:fldCharType="end"/>
        </w:r>
      </w:hyperlink>
    </w:p>
    <w:p w14:paraId="169C5831" w14:textId="3E3C58C4"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62" w:history="1">
        <w:r w:rsidR="00330DA6" w:rsidRPr="00570400">
          <w:rPr>
            <w:rStyle w:val="Hyperlink"/>
            <w:noProof/>
          </w:rPr>
          <w:t>1.1.1 2011–12 Australian National Nutrition and Physical Activity Survey (2011-12 NNPAS)</w:t>
        </w:r>
        <w:r w:rsidR="00330DA6">
          <w:rPr>
            <w:noProof/>
            <w:webHidden/>
          </w:rPr>
          <w:tab/>
        </w:r>
        <w:r w:rsidR="00330DA6">
          <w:rPr>
            <w:noProof/>
            <w:webHidden/>
          </w:rPr>
          <w:fldChar w:fldCharType="begin"/>
        </w:r>
        <w:r w:rsidR="00330DA6">
          <w:rPr>
            <w:noProof/>
            <w:webHidden/>
          </w:rPr>
          <w:instrText xml:space="preserve"> PAGEREF _Toc524342562 \h </w:instrText>
        </w:r>
        <w:r w:rsidR="00330DA6">
          <w:rPr>
            <w:noProof/>
            <w:webHidden/>
          </w:rPr>
        </w:r>
        <w:r w:rsidR="00330DA6">
          <w:rPr>
            <w:noProof/>
            <w:webHidden/>
          </w:rPr>
          <w:fldChar w:fldCharType="separate"/>
        </w:r>
        <w:r w:rsidR="00BB3A80">
          <w:rPr>
            <w:noProof/>
            <w:webHidden/>
          </w:rPr>
          <w:t>22</w:t>
        </w:r>
        <w:r w:rsidR="00330DA6">
          <w:rPr>
            <w:noProof/>
            <w:webHidden/>
          </w:rPr>
          <w:fldChar w:fldCharType="end"/>
        </w:r>
      </w:hyperlink>
    </w:p>
    <w:p w14:paraId="06F018B6" w14:textId="4FC70995"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63" w:history="1">
        <w:r w:rsidR="00330DA6" w:rsidRPr="00570400">
          <w:rPr>
            <w:rStyle w:val="Hyperlink"/>
            <w:noProof/>
          </w:rPr>
          <w:t>1.1.2 2002 New Zealand National Children’s Nutrition Survey (2002 NZ CNS)</w:t>
        </w:r>
        <w:r w:rsidR="00330DA6">
          <w:rPr>
            <w:noProof/>
            <w:webHidden/>
          </w:rPr>
          <w:tab/>
        </w:r>
        <w:r w:rsidR="00330DA6">
          <w:rPr>
            <w:noProof/>
            <w:webHidden/>
          </w:rPr>
          <w:fldChar w:fldCharType="begin"/>
        </w:r>
        <w:r w:rsidR="00330DA6">
          <w:rPr>
            <w:noProof/>
            <w:webHidden/>
          </w:rPr>
          <w:instrText xml:space="preserve"> PAGEREF _Toc524342563 \h </w:instrText>
        </w:r>
        <w:r w:rsidR="00330DA6">
          <w:rPr>
            <w:noProof/>
            <w:webHidden/>
          </w:rPr>
        </w:r>
        <w:r w:rsidR="00330DA6">
          <w:rPr>
            <w:noProof/>
            <w:webHidden/>
          </w:rPr>
          <w:fldChar w:fldCharType="separate"/>
        </w:r>
        <w:r w:rsidR="00BB3A80">
          <w:rPr>
            <w:noProof/>
            <w:webHidden/>
          </w:rPr>
          <w:t>22</w:t>
        </w:r>
        <w:r w:rsidR="00330DA6">
          <w:rPr>
            <w:noProof/>
            <w:webHidden/>
          </w:rPr>
          <w:fldChar w:fldCharType="end"/>
        </w:r>
      </w:hyperlink>
    </w:p>
    <w:p w14:paraId="43F0A77A" w14:textId="7BF9E11B" w:rsidR="00330DA6" w:rsidRDefault="003E4572">
      <w:pPr>
        <w:pStyle w:val="TOC3"/>
        <w:tabs>
          <w:tab w:val="right" w:leader="dot" w:pos="9060"/>
        </w:tabs>
        <w:rPr>
          <w:rFonts w:eastAsiaTheme="minorEastAsia" w:cstheme="minorBidi"/>
          <w:i w:val="0"/>
          <w:iCs w:val="0"/>
          <w:noProof/>
          <w:sz w:val="22"/>
          <w:szCs w:val="22"/>
          <w:lang w:eastAsia="en-GB" w:bidi="ar-SA"/>
        </w:rPr>
      </w:pPr>
      <w:hyperlink w:anchor="_Toc524342564" w:history="1">
        <w:r w:rsidR="00330DA6" w:rsidRPr="00570400">
          <w:rPr>
            <w:rStyle w:val="Hyperlink"/>
            <w:noProof/>
          </w:rPr>
          <w:t>1.1.3 2008-09 New Zealand Adult Nutrition Survey (2008 NZ ANS)</w:t>
        </w:r>
        <w:r w:rsidR="00330DA6">
          <w:rPr>
            <w:noProof/>
            <w:webHidden/>
          </w:rPr>
          <w:tab/>
        </w:r>
        <w:r w:rsidR="00330DA6">
          <w:rPr>
            <w:noProof/>
            <w:webHidden/>
          </w:rPr>
          <w:fldChar w:fldCharType="begin"/>
        </w:r>
        <w:r w:rsidR="00330DA6">
          <w:rPr>
            <w:noProof/>
            <w:webHidden/>
          </w:rPr>
          <w:instrText xml:space="preserve"> PAGEREF _Toc524342564 \h </w:instrText>
        </w:r>
        <w:r w:rsidR="00330DA6">
          <w:rPr>
            <w:noProof/>
            <w:webHidden/>
          </w:rPr>
        </w:r>
        <w:r w:rsidR="00330DA6">
          <w:rPr>
            <w:noProof/>
            <w:webHidden/>
          </w:rPr>
          <w:fldChar w:fldCharType="separate"/>
        </w:r>
        <w:r w:rsidR="00BB3A80">
          <w:rPr>
            <w:noProof/>
            <w:webHidden/>
          </w:rPr>
          <w:t>22</w:t>
        </w:r>
        <w:r w:rsidR="00330DA6">
          <w:rPr>
            <w:noProof/>
            <w:webHidden/>
          </w:rPr>
          <w:fldChar w:fldCharType="end"/>
        </w:r>
      </w:hyperlink>
    </w:p>
    <w:p w14:paraId="3CDA2236" w14:textId="081CB8EE" w:rsidR="00562917" w:rsidRDefault="00326D85" w:rsidP="00051ED9">
      <w:r>
        <w:fldChar w:fldCharType="end"/>
      </w:r>
    </w:p>
    <w:p w14:paraId="175F4624" w14:textId="77777777" w:rsidR="00E066BA" w:rsidRDefault="00E066BA" w:rsidP="00051ED9"/>
    <w:p w14:paraId="3D12825C" w14:textId="77777777" w:rsidR="00051ED9" w:rsidRDefault="00562917" w:rsidP="00772BDC">
      <w:r w:rsidRPr="00E203C2">
        <w:br w:type="page"/>
      </w:r>
    </w:p>
    <w:p w14:paraId="0A1FCE81" w14:textId="54452D9F" w:rsidR="00D60568" w:rsidRPr="00F215DC" w:rsidRDefault="001D013D" w:rsidP="00F861F2">
      <w:pPr>
        <w:pStyle w:val="Heading1"/>
      </w:pPr>
      <w:bookmarkStart w:id="7" w:name="_Toc521330335"/>
      <w:bookmarkStart w:id="8" w:name="_Toc522276756"/>
      <w:bookmarkStart w:id="9" w:name="_Toc522780483"/>
      <w:bookmarkStart w:id="10" w:name="_Toc524342524"/>
      <w:r>
        <w:t xml:space="preserve">1. </w:t>
      </w:r>
      <w:r w:rsidR="003A3E5B" w:rsidRPr="00F215DC">
        <w:t>Introduction</w:t>
      </w:r>
      <w:bookmarkEnd w:id="7"/>
      <w:bookmarkEnd w:id="8"/>
      <w:bookmarkEnd w:id="9"/>
      <w:bookmarkEnd w:id="10"/>
    </w:p>
    <w:p w14:paraId="69984072" w14:textId="59D497C7" w:rsidR="009D4558" w:rsidRDefault="003A3E5B" w:rsidP="003A3E5B">
      <w:pPr>
        <w:rPr>
          <w:lang w:eastAsia="en-AU" w:bidi="ar-SA"/>
        </w:rPr>
      </w:pPr>
      <w:r>
        <w:rPr>
          <w:lang w:eastAsia="en-AU" w:bidi="ar-SA"/>
        </w:rPr>
        <w:t>FSANZ rec</w:t>
      </w:r>
      <w:r w:rsidR="00C753E3">
        <w:rPr>
          <w:lang w:eastAsia="en-AU" w:bidi="ar-SA"/>
        </w:rPr>
        <w:t>eived an application from E</w:t>
      </w:r>
      <w:r>
        <w:rPr>
          <w:lang w:eastAsia="en-AU" w:bidi="ar-SA"/>
        </w:rPr>
        <w:t xml:space="preserve">nartis </w:t>
      </w:r>
      <w:r w:rsidR="00E80321">
        <w:rPr>
          <w:lang w:eastAsia="en-AU" w:bidi="ar-SA"/>
        </w:rPr>
        <w:t>Pacific</w:t>
      </w:r>
      <w:r>
        <w:rPr>
          <w:lang w:eastAsia="en-AU" w:bidi="ar-SA"/>
        </w:rPr>
        <w:t xml:space="preserve"> Pty Ltd. to amend </w:t>
      </w:r>
      <w:r w:rsidR="009F1A44">
        <w:rPr>
          <w:lang w:eastAsia="en-AU" w:bidi="ar-SA"/>
        </w:rPr>
        <w:t>t</w:t>
      </w:r>
      <w:r>
        <w:rPr>
          <w:lang w:eastAsia="en-AU" w:bidi="ar-SA"/>
        </w:rPr>
        <w:t>he Code</w:t>
      </w:r>
      <w:r w:rsidR="00A926C8">
        <w:rPr>
          <w:lang w:eastAsia="en-AU" w:bidi="ar-SA"/>
        </w:rPr>
        <w:t xml:space="preserve"> </w:t>
      </w:r>
      <w:r>
        <w:rPr>
          <w:lang w:eastAsia="en-AU" w:bidi="ar-SA"/>
        </w:rPr>
        <w:t xml:space="preserve">to permit potassium polyaspartate as a food additive in wine </w:t>
      </w:r>
      <w:r w:rsidR="00251BA8">
        <w:rPr>
          <w:lang w:eastAsia="en-AU" w:bidi="ar-SA"/>
        </w:rPr>
        <w:t>at a maximum permitted level of</w:t>
      </w:r>
      <w:r w:rsidR="000D5738">
        <w:rPr>
          <w:lang w:eastAsia="en-AU" w:bidi="ar-SA"/>
        </w:rPr>
        <w:t xml:space="preserve"> </w:t>
      </w:r>
      <w:r>
        <w:rPr>
          <w:lang w:eastAsia="en-AU" w:bidi="ar-SA"/>
        </w:rPr>
        <w:t>100</w:t>
      </w:r>
      <w:r w:rsidR="00CF6035">
        <w:rPr>
          <w:lang w:eastAsia="en-AU" w:bidi="ar-SA"/>
        </w:rPr>
        <w:t xml:space="preserve"> </w:t>
      </w:r>
      <w:r>
        <w:rPr>
          <w:lang w:eastAsia="en-AU" w:bidi="ar-SA"/>
        </w:rPr>
        <w:t xml:space="preserve">mg/L. </w:t>
      </w:r>
    </w:p>
    <w:p w14:paraId="3BB3D067" w14:textId="77777777" w:rsidR="009D4558" w:rsidRDefault="009D4558" w:rsidP="003A3E5B">
      <w:pPr>
        <w:rPr>
          <w:lang w:eastAsia="en-AU" w:bidi="ar-SA"/>
        </w:rPr>
      </w:pPr>
    </w:p>
    <w:p w14:paraId="2A0171B9" w14:textId="275E2DF1" w:rsidR="0024220D" w:rsidRDefault="009D4558" w:rsidP="003A3E5B">
      <w:pPr>
        <w:rPr>
          <w:lang w:eastAsia="en-AU" w:bidi="ar-SA"/>
        </w:rPr>
      </w:pPr>
      <w:r>
        <w:rPr>
          <w:lang w:eastAsia="en-AU" w:bidi="ar-SA"/>
        </w:rPr>
        <w:t>The technological purpose of potassium polyaspartate is as a stabiliser in wine</w:t>
      </w:r>
      <w:r w:rsidR="0038265D">
        <w:rPr>
          <w:lang w:eastAsia="en-AU" w:bidi="ar-SA"/>
        </w:rPr>
        <w:t xml:space="preserve"> to prevent</w:t>
      </w:r>
      <w:r w:rsidR="0024220D">
        <w:rPr>
          <w:lang w:eastAsia="en-AU" w:bidi="ar-SA"/>
        </w:rPr>
        <w:t xml:space="preserve"> </w:t>
      </w:r>
      <w:r w:rsidR="007A43B2">
        <w:rPr>
          <w:lang w:eastAsia="en-AU" w:bidi="ar-SA"/>
        </w:rPr>
        <w:t xml:space="preserve">the growth of </w:t>
      </w:r>
      <w:r w:rsidR="00DF3245">
        <w:rPr>
          <w:lang w:eastAsia="en-AU" w:bidi="ar-SA"/>
        </w:rPr>
        <w:t xml:space="preserve">potassium </w:t>
      </w:r>
      <w:r w:rsidR="007A43B2">
        <w:rPr>
          <w:lang w:eastAsia="en-AU" w:bidi="ar-SA"/>
        </w:rPr>
        <w:t>bitartrate crystals</w:t>
      </w:r>
      <w:r w:rsidR="0024220D">
        <w:rPr>
          <w:lang w:eastAsia="en-AU" w:bidi="ar-SA"/>
        </w:rPr>
        <w:t xml:space="preserve">. </w:t>
      </w:r>
      <w:r w:rsidR="007A43B2">
        <w:rPr>
          <w:lang w:eastAsia="en-AU" w:bidi="ar-SA"/>
        </w:rPr>
        <w:t xml:space="preserve">Potassium bitartrate </w:t>
      </w:r>
      <w:r w:rsidR="00DF3245">
        <w:rPr>
          <w:lang w:eastAsia="en-AU" w:bidi="ar-SA"/>
        </w:rPr>
        <w:t>crystals</w:t>
      </w:r>
      <w:r w:rsidR="00DB3D22">
        <w:rPr>
          <w:lang w:eastAsia="en-AU" w:bidi="ar-SA"/>
        </w:rPr>
        <w:t xml:space="preserve">, </w:t>
      </w:r>
      <w:r w:rsidR="00393D32">
        <w:rPr>
          <w:lang w:eastAsia="en-AU" w:bidi="ar-SA"/>
        </w:rPr>
        <w:t>also</w:t>
      </w:r>
      <w:r w:rsidR="00DB3D22">
        <w:rPr>
          <w:lang w:eastAsia="en-AU" w:bidi="ar-SA"/>
        </w:rPr>
        <w:t xml:space="preserve"> known as “</w:t>
      </w:r>
      <w:r w:rsidR="00871E73">
        <w:rPr>
          <w:lang w:eastAsia="en-AU" w:bidi="ar-SA"/>
        </w:rPr>
        <w:t>w</w:t>
      </w:r>
      <w:r w:rsidR="00DB3D22">
        <w:rPr>
          <w:lang w:eastAsia="en-AU" w:bidi="ar-SA"/>
        </w:rPr>
        <w:t xml:space="preserve">ine </w:t>
      </w:r>
      <w:r w:rsidR="00871E73">
        <w:rPr>
          <w:lang w:eastAsia="en-AU" w:bidi="ar-SA"/>
        </w:rPr>
        <w:t>d</w:t>
      </w:r>
      <w:r w:rsidR="00DB3D22">
        <w:rPr>
          <w:lang w:eastAsia="en-AU" w:bidi="ar-SA"/>
        </w:rPr>
        <w:t>iamonds</w:t>
      </w:r>
      <w:r w:rsidR="00D17C2A">
        <w:rPr>
          <w:lang w:eastAsia="en-AU" w:bidi="ar-SA"/>
        </w:rPr>
        <w:t>”</w:t>
      </w:r>
      <w:r w:rsidR="00C34374">
        <w:rPr>
          <w:lang w:eastAsia="en-AU" w:bidi="ar-SA"/>
        </w:rPr>
        <w:t>,</w:t>
      </w:r>
      <w:r w:rsidR="00D63DDE">
        <w:rPr>
          <w:lang w:eastAsia="en-AU" w:bidi="ar-SA"/>
        </w:rPr>
        <w:t xml:space="preserve"> </w:t>
      </w:r>
      <w:r w:rsidR="009A53EC">
        <w:rPr>
          <w:lang w:eastAsia="en-AU" w:bidi="ar-SA"/>
        </w:rPr>
        <w:t>can</w:t>
      </w:r>
      <w:r w:rsidR="0038265D">
        <w:rPr>
          <w:lang w:eastAsia="en-AU" w:bidi="ar-SA"/>
        </w:rPr>
        <w:t xml:space="preserve"> </w:t>
      </w:r>
      <w:r w:rsidR="00DF3245">
        <w:rPr>
          <w:lang w:eastAsia="en-AU" w:bidi="ar-SA"/>
        </w:rPr>
        <w:t>develop during storage</w:t>
      </w:r>
      <w:r w:rsidR="0038265D">
        <w:rPr>
          <w:lang w:eastAsia="en-AU" w:bidi="ar-SA"/>
        </w:rPr>
        <w:t xml:space="preserve">. </w:t>
      </w:r>
      <w:r w:rsidR="00661947">
        <w:rPr>
          <w:lang w:eastAsia="en-AU" w:bidi="ar-SA"/>
        </w:rPr>
        <w:t xml:space="preserve">The </w:t>
      </w:r>
      <w:r w:rsidR="00DF7AC1">
        <w:rPr>
          <w:lang w:eastAsia="en-AU" w:bidi="ar-SA"/>
        </w:rPr>
        <w:t xml:space="preserve">physical </w:t>
      </w:r>
      <w:r w:rsidR="00661947">
        <w:rPr>
          <w:lang w:eastAsia="en-AU" w:bidi="ar-SA"/>
        </w:rPr>
        <w:t xml:space="preserve">presence of </w:t>
      </w:r>
      <w:r w:rsidR="007A43B2">
        <w:rPr>
          <w:lang w:eastAsia="en-AU" w:bidi="ar-SA"/>
        </w:rPr>
        <w:t>these</w:t>
      </w:r>
      <w:r w:rsidR="00CF6035">
        <w:rPr>
          <w:lang w:eastAsia="en-AU" w:bidi="ar-SA"/>
        </w:rPr>
        <w:t xml:space="preserve"> crystals in the </w:t>
      </w:r>
      <w:r w:rsidR="00DF3245">
        <w:rPr>
          <w:lang w:eastAsia="en-AU" w:bidi="ar-SA"/>
        </w:rPr>
        <w:t xml:space="preserve">base </w:t>
      </w:r>
      <w:r w:rsidR="0024220D">
        <w:rPr>
          <w:lang w:eastAsia="en-AU" w:bidi="ar-SA"/>
        </w:rPr>
        <w:t xml:space="preserve">of a wine bottle </w:t>
      </w:r>
      <w:r w:rsidR="007A4F51">
        <w:rPr>
          <w:lang w:eastAsia="en-AU" w:bidi="ar-SA"/>
        </w:rPr>
        <w:t xml:space="preserve">or </w:t>
      </w:r>
      <w:r w:rsidR="007A43B2">
        <w:rPr>
          <w:lang w:eastAsia="en-AU" w:bidi="ar-SA"/>
        </w:rPr>
        <w:t>on</w:t>
      </w:r>
      <w:r w:rsidR="007A4F51">
        <w:rPr>
          <w:lang w:eastAsia="en-AU" w:bidi="ar-SA"/>
        </w:rPr>
        <w:t xml:space="preserve"> the cork </w:t>
      </w:r>
      <w:r w:rsidR="009769F9">
        <w:rPr>
          <w:lang w:eastAsia="en-AU" w:bidi="ar-SA"/>
        </w:rPr>
        <w:t>is</w:t>
      </w:r>
      <w:r w:rsidR="0053038B">
        <w:rPr>
          <w:lang w:eastAsia="en-AU" w:bidi="ar-SA"/>
        </w:rPr>
        <w:t xml:space="preserve"> unacceptable in terms of wine quality and </w:t>
      </w:r>
      <w:r w:rsidR="009E29D7">
        <w:rPr>
          <w:lang w:eastAsia="en-AU" w:bidi="ar-SA"/>
        </w:rPr>
        <w:t xml:space="preserve">can </w:t>
      </w:r>
      <w:r w:rsidR="0024220D">
        <w:rPr>
          <w:lang w:eastAsia="en-AU" w:bidi="ar-SA"/>
        </w:rPr>
        <w:t xml:space="preserve">appear </w:t>
      </w:r>
      <w:r w:rsidR="00EA62EB">
        <w:rPr>
          <w:lang w:eastAsia="en-AU" w:bidi="ar-SA"/>
        </w:rPr>
        <w:t>‘</w:t>
      </w:r>
      <w:r w:rsidR="009E29D7">
        <w:rPr>
          <w:lang w:eastAsia="en-AU" w:bidi="ar-SA"/>
        </w:rPr>
        <w:t>glass-</w:t>
      </w:r>
      <w:r w:rsidR="00030FAB">
        <w:rPr>
          <w:lang w:eastAsia="en-AU" w:bidi="ar-SA"/>
        </w:rPr>
        <w:t>like</w:t>
      </w:r>
      <w:r w:rsidR="00EA62EB">
        <w:rPr>
          <w:lang w:eastAsia="en-AU" w:bidi="ar-SA"/>
        </w:rPr>
        <w:t>’</w:t>
      </w:r>
      <w:r w:rsidR="008F215E">
        <w:rPr>
          <w:lang w:eastAsia="en-AU" w:bidi="ar-SA"/>
        </w:rPr>
        <w:t xml:space="preserve"> </w:t>
      </w:r>
      <w:r w:rsidR="009E29D7">
        <w:rPr>
          <w:lang w:eastAsia="en-AU" w:bidi="ar-SA"/>
        </w:rPr>
        <w:t>which results</w:t>
      </w:r>
      <w:r w:rsidR="0024220D">
        <w:rPr>
          <w:lang w:eastAsia="en-AU" w:bidi="ar-SA"/>
        </w:rPr>
        <w:t xml:space="preserve"> in an unacceptable appearance</w:t>
      </w:r>
      <w:r w:rsidR="00615CEF">
        <w:rPr>
          <w:lang w:eastAsia="en-AU" w:bidi="ar-SA"/>
        </w:rPr>
        <w:t xml:space="preserve"> for consumers</w:t>
      </w:r>
      <w:r w:rsidR="0024220D">
        <w:rPr>
          <w:lang w:eastAsia="en-AU" w:bidi="ar-SA"/>
        </w:rPr>
        <w:t xml:space="preserve">. </w:t>
      </w:r>
    </w:p>
    <w:p w14:paraId="61AE6554" w14:textId="77777777" w:rsidR="00714519" w:rsidRDefault="00714519" w:rsidP="003A3E5B">
      <w:pPr>
        <w:rPr>
          <w:lang w:eastAsia="en-AU" w:bidi="ar-SA"/>
        </w:rPr>
      </w:pPr>
    </w:p>
    <w:p w14:paraId="1678AD48" w14:textId="5EE87610" w:rsidR="003A3E5B" w:rsidRDefault="0024220D" w:rsidP="003A3E5B">
      <w:pPr>
        <w:rPr>
          <w:lang w:eastAsia="en-AU" w:bidi="ar-SA"/>
        </w:rPr>
      </w:pPr>
      <w:r>
        <w:rPr>
          <w:lang w:eastAsia="en-AU" w:bidi="ar-SA"/>
        </w:rPr>
        <w:t>Potassium polyaspartate is the potassium salt of polyaspartic acid</w:t>
      </w:r>
      <w:r w:rsidR="009E29D7">
        <w:rPr>
          <w:lang w:eastAsia="en-AU" w:bidi="ar-SA"/>
        </w:rPr>
        <w:t xml:space="preserve">, produced from L-aspartic acid, </w:t>
      </w:r>
      <w:r>
        <w:rPr>
          <w:lang w:eastAsia="en-AU" w:bidi="ar-SA"/>
        </w:rPr>
        <w:t>a naturally occurring amino acid in wine</w:t>
      </w:r>
      <w:r w:rsidR="00CF6035">
        <w:rPr>
          <w:lang w:eastAsia="en-AU" w:bidi="ar-SA"/>
        </w:rPr>
        <w:t xml:space="preserve"> and other foods</w:t>
      </w:r>
      <w:r>
        <w:rPr>
          <w:lang w:eastAsia="en-AU" w:bidi="ar-SA"/>
        </w:rPr>
        <w:t>.</w:t>
      </w:r>
      <w:r w:rsidR="007A4F51">
        <w:rPr>
          <w:lang w:eastAsia="en-AU" w:bidi="ar-SA"/>
        </w:rPr>
        <w:t xml:space="preserve"> Potassium polyaspartate is superior to other permitted food additives used as stabilisers</w:t>
      </w:r>
      <w:r w:rsidR="00E4225E">
        <w:rPr>
          <w:lang w:eastAsia="en-AU" w:bidi="ar-SA"/>
        </w:rPr>
        <w:t xml:space="preserve"> in wine</w:t>
      </w:r>
      <w:r w:rsidR="004406A2">
        <w:rPr>
          <w:lang w:eastAsia="en-AU" w:bidi="ar-SA"/>
        </w:rPr>
        <w:t xml:space="preserve">. </w:t>
      </w:r>
      <w:r w:rsidR="00871E73">
        <w:rPr>
          <w:lang w:eastAsia="en-AU" w:bidi="ar-SA"/>
        </w:rPr>
        <w:t>It has</w:t>
      </w:r>
      <w:r w:rsidR="007A4F51">
        <w:rPr>
          <w:lang w:eastAsia="en-AU" w:bidi="ar-SA"/>
        </w:rPr>
        <w:t xml:space="preserve"> no negative </w:t>
      </w:r>
      <w:r w:rsidR="00800FF9">
        <w:rPr>
          <w:lang w:eastAsia="en-AU" w:bidi="ar-SA"/>
        </w:rPr>
        <w:t xml:space="preserve">effects </w:t>
      </w:r>
      <w:r w:rsidR="007A4F51">
        <w:rPr>
          <w:lang w:eastAsia="en-AU" w:bidi="ar-SA"/>
        </w:rPr>
        <w:t>on the sensory properties of wine.</w:t>
      </w:r>
    </w:p>
    <w:p w14:paraId="5AF87F76" w14:textId="358CDFA8" w:rsidR="007A4F51" w:rsidRDefault="007A4F51" w:rsidP="003A3E5B">
      <w:pPr>
        <w:rPr>
          <w:lang w:eastAsia="en-AU" w:bidi="ar-SA"/>
        </w:rPr>
      </w:pPr>
    </w:p>
    <w:p w14:paraId="2DE1FC66" w14:textId="703FAEAE" w:rsidR="0091211F" w:rsidRPr="00871E73" w:rsidRDefault="001D013D" w:rsidP="00F861F2">
      <w:pPr>
        <w:pStyle w:val="Heading1"/>
      </w:pPr>
      <w:bookmarkStart w:id="11" w:name="_Toc521330336"/>
      <w:bookmarkStart w:id="12" w:name="_Toc522276757"/>
      <w:bookmarkStart w:id="13" w:name="_Toc522780484"/>
      <w:bookmarkStart w:id="14" w:name="_Toc524342525"/>
      <w:r>
        <w:t xml:space="preserve">2. </w:t>
      </w:r>
      <w:r w:rsidR="0091211F" w:rsidRPr="00871E73">
        <w:t>Food technology assessment</w:t>
      </w:r>
      <w:bookmarkEnd w:id="11"/>
      <w:bookmarkEnd w:id="12"/>
      <w:bookmarkEnd w:id="13"/>
      <w:bookmarkEnd w:id="14"/>
    </w:p>
    <w:p w14:paraId="5567E062" w14:textId="69101694" w:rsidR="0091211F" w:rsidRPr="00871E73" w:rsidRDefault="0091211F" w:rsidP="00F861F2">
      <w:pPr>
        <w:pStyle w:val="Heading2"/>
      </w:pPr>
      <w:bookmarkStart w:id="15" w:name="_Toc521330337"/>
      <w:bookmarkStart w:id="16" w:name="_Toc522276758"/>
      <w:bookmarkStart w:id="17" w:name="_Toc522780485"/>
      <w:bookmarkStart w:id="18" w:name="_Toc524342526"/>
      <w:r w:rsidRPr="00871E73">
        <w:t xml:space="preserve">2.1 Objectives </w:t>
      </w:r>
      <w:r w:rsidR="00EE05FD">
        <w:t>for the</w:t>
      </w:r>
      <w:r w:rsidRPr="00871E73">
        <w:t xml:space="preserve"> food technology assessment</w:t>
      </w:r>
      <w:bookmarkEnd w:id="15"/>
      <w:bookmarkEnd w:id="16"/>
      <w:bookmarkEnd w:id="17"/>
      <w:bookmarkEnd w:id="18"/>
    </w:p>
    <w:p w14:paraId="60B957C5" w14:textId="0F95FF82" w:rsidR="007A4F51" w:rsidRDefault="00383BFE" w:rsidP="003A3E5B">
      <w:pPr>
        <w:rPr>
          <w:lang w:eastAsia="en-AU" w:bidi="ar-SA"/>
        </w:rPr>
      </w:pPr>
      <w:r>
        <w:rPr>
          <w:lang w:eastAsia="en-AU" w:bidi="ar-SA"/>
        </w:rPr>
        <w:t xml:space="preserve">To determine whether </w:t>
      </w:r>
      <w:r w:rsidR="00F76D20" w:rsidRPr="00F76D20">
        <w:rPr>
          <w:lang w:eastAsia="en-AU" w:bidi="ar-SA"/>
        </w:rPr>
        <w:t>potassium polyaspartate</w:t>
      </w:r>
      <w:r w:rsidR="00F76D20">
        <w:rPr>
          <w:lang w:eastAsia="en-AU" w:bidi="ar-SA"/>
        </w:rPr>
        <w:t>, when</w:t>
      </w:r>
      <w:r w:rsidR="00F76D20" w:rsidRPr="00F76D20" w:rsidDel="00F76D20">
        <w:rPr>
          <w:lang w:eastAsia="en-AU" w:bidi="ar-SA"/>
        </w:rPr>
        <w:t xml:space="preserve"> </w:t>
      </w:r>
      <w:r w:rsidR="00F76D20">
        <w:rPr>
          <w:lang w:eastAsia="en-AU" w:bidi="ar-SA"/>
        </w:rPr>
        <w:t>used as a food additive</w:t>
      </w:r>
      <w:r w:rsidR="00F76D20" w:rsidRPr="00F76D20">
        <w:rPr>
          <w:lang w:eastAsia="en-AU" w:bidi="ar-SA"/>
        </w:rPr>
        <w:t xml:space="preserve"> </w:t>
      </w:r>
      <w:r w:rsidR="00F76D20">
        <w:rPr>
          <w:lang w:eastAsia="en-AU" w:bidi="ar-SA"/>
        </w:rPr>
        <w:t xml:space="preserve">in the form and quantity </w:t>
      </w:r>
      <w:r w:rsidR="00871E73">
        <w:rPr>
          <w:lang w:eastAsia="en-AU" w:bidi="ar-SA"/>
        </w:rPr>
        <w:t>proposed</w:t>
      </w:r>
      <w:r w:rsidR="00C34374">
        <w:rPr>
          <w:lang w:eastAsia="en-AU" w:bidi="ar-SA"/>
        </w:rPr>
        <w:t>,</w:t>
      </w:r>
      <w:r w:rsidR="00871E73">
        <w:rPr>
          <w:lang w:eastAsia="en-AU" w:bidi="ar-SA"/>
        </w:rPr>
        <w:t xml:space="preserve"> achieves</w:t>
      </w:r>
      <w:r>
        <w:rPr>
          <w:lang w:eastAsia="en-AU" w:bidi="ar-SA"/>
        </w:rPr>
        <w:t xml:space="preserve"> its technological purpose</w:t>
      </w:r>
      <w:r w:rsidR="00F76D20">
        <w:rPr>
          <w:lang w:eastAsia="en-AU" w:bidi="ar-SA"/>
        </w:rPr>
        <w:t xml:space="preserve"> as a</w:t>
      </w:r>
      <w:r>
        <w:rPr>
          <w:lang w:eastAsia="en-AU" w:bidi="ar-SA"/>
        </w:rPr>
        <w:t xml:space="preserve"> </w:t>
      </w:r>
      <w:r w:rsidR="00F76D20">
        <w:rPr>
          <w:lang w:eastAsia="en-AU" w:bidi="ar-SA"/>
        </w:rPr>
        <w:t>stabiliser</w:t>
      </w:r>
      <w:r>
        <w:rPr>
          <w:lang w:eastAsia="en-AU" w:bidi="ar-SA"/>
        </w:rPr>
        <w:t xml:space="preserve">. </w:t>
      </w:r>
    </w:p>
    <w:p w14:paraId="3E1AAEF5" w14:textId="77777777" w:rsidR="007A4F51" w:rsidRDefault="007A4F51" w:rsidP="003A3E5B">
      <w:pPr>
        <w:rPr>
          <w:lang w:eastAsia="en-AU" w:bidi="ar-SA"/>
        </w:rPr>
      </w:pPr>
    </w:p>
    <w:p w14:paraId="43A4E3DF" w14:textId="1DBE0BC0" w:rsidR="0024220D" w:rsidRDefault="00383BFE" w:rsidP="00F861F2">
      <w:pPr>
        <w:pStyle w:val="Heading2"/>
      </w:pPr>
      <w:bookmarkStart w:id="19" w:name="_Toc521330338"/>
      <w:bookmarkStart w:id="20" w:name="_Toc522276759"/>
      <w:bookmarkStart w:id="21" w:name="_Toc522780486"/>
      <w:bookmarkStart w:id="22" w:name="_Toc524342527"/>
      <w:r>
        <w:t xml:space="preserve">2.2 </w:t>
      </w:r>
      <w:bookmarkEnd w:id="19"/>
      <w:r w:rsidR="00816D05">
        <w:t>Chemical and physical properties</w:t>
      </w:r>
      <w:bookmarkEnd w:id="20"/>
      <w:bookmarkEnd w:id="21"/>
      <w:bookmarkEnd w:id="22"/>
    </w:p>
    <w:p w14:paraId="39BEFDA3" w14:textId="5B92ABBC" w:rsidR="00816D05" w:rsidRDefault="00816D05" w:rsidP="00816D05">
      <w:pPr>
        <w:rPr>
          <w:lang w:eastAsia="en-AU" w:bidi="ar-SA"/>
        </w:rPr>
      </w:pPr>
      <w:r>
        <w:rPr>
          <w:lang w:eastAsia="en-AU" w:bidi="ar-SA"/>
        </w:rPr>
        <w:t xml:space="preserve">Enartis Pacific’s potassium polyaspartate is prepared from L-aspartic acid. A thermal process converts the L-aspartic acid into polysuccinimide. Polysuccinimide is then treated with potassium hydroxide to produce potassium polyaspartate. </w:t>
      </w:r>
    </w:p>
    <w:p w14:paraId="6F1519A6" w14:textId="77777777" w:rsidR="00816D05" w:rsidRDefault="00816D05" w:rsidP="00816D05">
      <w:pPr>
        <w:rPr>
          <w:lang w:eastAsia="en-AU" w:bidi="ar-SA"/>
        </w:rPr>
      </w:pPr>
    </w:p>
    <w:p w14:paraId="1785E16E" w14:textId="60FB646B" w:rsidR="00816D05" w:rsidRPr="00C06111" w:rsidRDefault="00816D05" w:rsidP="00816D05">
      <w:r>
        <w:rPr>
          <w:lang w:eastAsia="en-AU" w:bidi="ar-SA"/>
        </w:rPr>
        <w:t xml:space="preserve">Potassium polyaspartate is a light brown odourless powder that is soluble in water (&gt;1000 g/L) and insoluble in organic solvents (&lt;5 g/L). As shown in </w:t>
      </w:r>
      <w:r w:rsidR="00E92A19">
        <w:rPr>
          <w:lang w:eastAsia="en-AU" w:bidi="ar-SA"/>
        </w:rPr>
        <w:t>F</w:t>
      </w:r>
      <w:r>
        <w:rPr>
          <w:lang w:eastAsia="en-AU" w:bidi="ar-SA"/>
        </w:rPr>
        <w:t xml:space="preserve">igure 1 it is a polymer composed of aspartic acid units with the general chemical formula </w:t>
      </w:r>
      <w:r w:rsidRPr="000F5EA1">
        <w:t>[C</w:t>
      </w:r>
      <w:r w:rsidRPr="000F5EA1">
        <w:rPr>
          <w:vertAlign w:val="subscript"/>
        </w:rPr>
        <w:t>4</w:t>
      </w:r>
      <w:r w:rsidRPr="000F5EA1">
        <w:t>H</w:t>
      </w:r>
      <w:r w:rsidRPr="000F5EA1">
        <w:rPr>
          <w:vertAlign w:val="subscript"/>
        </w:rPr>
        <w:t>5</w:t>
      </w:r>
      <w:r w:rsidRPr="000F5EA1">
        <w:t>NO</w:t>
      </w:r>
      <w:r w:rsidRPr="000F5EA1">
        <w:rPr>
          <w:vertAlign w:val="subscript"/>
        </w:rPr>
        <w:t>3</w:t>
      </w:r>
      <w:r w:rsidRPr="000F5EA1">
        <w:t>K]</w:t>
      </w:r>
      <w:r w:rsidRPr="000F5EA1">
        <w:rPr>
          <w:vertAlign w:val="subscript"/>
        </w:rPr>
        <w:t>n</w:t>
      </w:r>
      <w:r w:rsidR="00C458A1">
        <w:t xml:space="preserve"> where</w:t>
      </w:r>
      <w:r>
        <w:rPr>
          <w:vertAlign w:val="subscript"/>
        </w:rPr>
        <w:t xml:space="preserve">  </w:t>
      </w:r>
      <w:r>
        <w:t xml:space="preserve">n is the average degree of polymerisation and approximately 30. </w:t>
      </w:r>
    </w:p>
    <w:p w14:paraId="788D4F1D" w14:textId="77777777" w:rsidR="00816D05" w:rsidRDefault="00816D05" w:rsidP="00816D05">
      <w:pPr>
        <w:rPr>
          <w:lang w:eastAsia="en-AU" w:bidi="ar-SA"/>
        </w:rPr>
      </w:pPr>
    </w:p>
    <w:p w14:paraId="60210AB0" w14:textId="77777777" w:rsidR="00816D05" w:rsidRDefault="00816D05" w:rsidP="00816D05">
      <w:pPr>
        <w:rPr>
          <w:lang w:eastAsia="en-AU" w:bidi="ar-SA"/>
        </w:rPr>
      </w:pPr>
      <w:r w:rsidRPr="000F5EA1">
        <w:rPr>
          <w:noProof/>
          <w:lang w:eastAsia="en-GB" w:bidi="ar-SA"/>
        </w:rPr>
        <w:drawing>
          <wp:inline distT="0" distB="0" distL="0" distR="0" wp14:anchorId="50DF2558" wp14:editId="1BA8780A">
            <wp:extent cx="3625850" cy="1303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5850" cy="1303020"/>
                    </a:xfrm>
                    <a:prstGeom prst="rect">
                      <a:avLst/>
                    </a:prstGeom>
                    <a:noFill/>
                    <a:ln>
                      <a:noFill/>
                    </a:ln>
                  </pic:spPr>
                </pic:pic>
              </a:graphicData>
            </a:graphic>
          </wp:inline>
        </w:drawing>
      </w:r>
    </w:p>
    <w:p w14:paraId="6EA3E537" w14:textId="04B68952" w:rsidR="00816D05" w:rsidRPr="00FA296A" w:rsidRDefault="00816D05" w:rsidP="006662BA">
      <w:pPr>
        <w:pStyle w:val="FSTableFigureHeading"/>
        <w:rPr>
          <w:lang w:eastAsia="en-AU"/>
        </w:rPr>
      </w:pPr>
      <w:r w:rsidRPr="00FA296A">
        <w:t xml:space="preserve">Figure </w:t>
      </w:r>
      <w:r w:rsidR="00F668B7">
        <w:rPr>
          <w:noProof/>
        </w:rPr>
        <w:fldChar w:fldCharType="begin"/>
      </w:r>
      <w:r w:rsidR="00F668B7">
        <w:rPr>
          <w:noProof/>
        </w:rPr>
        <w:instrText xml:space="preserve"> SEQ Figure \* ARABIC </w:instrText>
      </w:r>
      <w:r w:rsidR="00F668B7">
        <w:rPr>
          <w:noProof/>
        </w:rPr>
        <w:fldChar w:fldCharType="separate"/>
      </w:r>
      <w:r w:rsidR="00BB3A80">
        <w:rPr>
          <w:noProof/>
        </w:rPr>
        <w:t>1</w:t>
      </w:r>
      <w:r w:rsidR="00F668B7">
        <w:rPr>
          <w:noProof/>
        </w:rPr>
        <w:fldChar w:fldCharType="end"/>
      </w:r>
      <w:r>
        <w:tab/>
      </w:r>
      <w:r w:rsidRPr="006662BA">
        <w:rPr>
          <w:b w:val="0"/>
          <w:lang w:eastAsia="en-AU"/>
        </w:rPr>
        <w:t>Chemical structure of potassium polyaspartate</w:t>
      </w:r>
    </w:p>
    <w:p w14:paraId="3E2CB09A" w14:textId="427A4952" w:rsidR="00816D05" w:rsidRDefault="00816D05" w:rsidP="003A3E5B">
      <w:pPr>
        <w:rPr>
          <w:lang w:eastAsia="en-AU" w:bidi="ar-SA"/>
        </w:rPr>
      </w:pPr>
    </w:p>
    <w:p w14:paraId="48713DA6" w14:textId="77777777" w:rsidR="00816D05" w:rsidRDefault="00816D05" w:rsidP="003A3E5B">
      <w:pPr>
        <w:rPr>
          <w:lang w:eastAsia="en-AU" w:bidi="ar-SA"/>
        </w:rPr>
      </w:pPr>
    </w:p>
    <w:p w14:paraId="3D91DB6B" w14:textId="77777777" w:rsidR="007A43B2" w:rsidRDefault="007A43B2" w:rsidP="003A3E5B">
      <w:pPr>
        <w:rPr>
          <w:lang w:eastAsia="en-AU" w:bidi="ar-SA"/>
        </w:rPr>
      </w:pPr>
    </w:p>
    <w:p w14:paraId="5F315B79" w14:textId="77777777" w:rsidR="007A43B2" w:rsidRDefault="007A43B2" w:rsidP="003A3E5B">
      <w:pPr>
        <w:rPr>
          <w:lang w:eastAsia="en-AU" w:bidi="ar-SA"/>
        </w:rPr>
      </w:pPr>
    </w:p>
    <w:p w14:paraId="6EE26012" w14:textId="77777777" w:rsidR="009A53EC" w:rsidRDefault="009A53EC" w:rsidP="003A3E5B">
      <w:pPr>
        <w:rPr>
          <w:lang w:eastAsia="en-AU" w:bidi="ar-SA"/>
        </w:rPr>
      </w:pPr>
    </w:p>
    <w:p w14:paraId="4D6D3449" w14:textId="77777777" w:rsidR="009A53EC" w:rsidRDefault="009A53EC" w:rsidP="003A3E5B">
      <w:pPr>
        <w:rPr>
          <w:lang w:eastAsia="en-AU" w:bidi="ar-SA"/>
        </w:rPr>
      </w:pPr>
    </w:p>
    <w:p w14:paraId="6913DFC8" w14:textId="3696ACBA" w:rsidR="009D4558" w:rsidRDefault="00942B15" w:rsidP="003A3E5B">
      <w:pPr>
        <w:rPr>
          <w:lang w:eastAsia="en-AU" w:bidi="ar-SA"/>
        </w:rPr>
      </w:pPr>
      <w:r>
        <w:rPr>
          <w:lang w:eastAsia="en-AU" w:bidi="ar-SA"/>
        </w:rPr>
        <w:t>The application includes i</w:t>
      </w:r>
      <w:r w:rsidR="00343829">
        <w:rPr>
          <w:lang w:eastAsia="en-AU" w:bidi="ar-SA"/>
        </w:rPr>
        <w:t xml:space="preserve">nformation </w:t>
      </w:r>
      <w:r>
        <w:rPr>
          <w:lang w:eastAsia="en-AU" w:bidi="ar-SA"/>
        </w:rPr>
        <w:t>on</w:t>
      </w:r>
      <w:r w:rsidR="00343829">
        <w:rPr>
          <w:lang w:eastAsia="en-AU" w:bidi="ar-SA"/>
        </w:rPr>
        <w:t xml:space="preserve"> the identity of potassium polyaspartate. </w:t>
      </w:r>
    </w:p>
    <w:p w14:paraId="28959CDD" w14:textId="77777777" w:rsidR="0008099A" w:rsidRDefault="0008099A" w:rsidP="003A3E5B">
      <w:pPr>
        <w:rPr>
          <w:b/>
          <w:i/>
          <w:lang w:eastAsia="en-AU" w:bidi="ar-SA"/>
        </w:rPr>
      </w:pPr>
    </w:p>
    <w:p w14:paraId="653C92D5" w14:textId="474B234A" w:rsidR="00343829" w:rsidRDefault="00CF6035" w:rsidP="003A3E5B">
      <w:pPr>
        <w:rPr>
          <w:b/>
          <w:i/>
          <w:lang w:eastAsia="en-AU" w:bidi="ar-SA"/>
        </w:rPr>
      </w:pPr>
      <w:r>
        <w:rPr>
          <w:b/>
          <w:i/>
          <w:lang w:eastAsia="en-AU" w:bidi="ar-SA"/>
        </w:rPr>
        <w:t>Chemical names:</w:t>
      </w:r>
      <w:r w:rsidR="00343829">
        <w:rPr>
          <w:b/>
          <w:i/>
          <w:lang w:eastAsia="en-AU" w:bidi="ar-SA"/>
        </w:rPr>
        <w:t xml:space="preserve"> </w:t>
      </w:r>
      <w:r w:rsidR="00343829" w:rsidRPr="00343829">
        <w:t>Homopolymer of potassium L-aspartate or potassium polyaspartate</w:t>
      </w:r>
    </w:p>
    <w:p w14:paraId="10E07855" w14:textId="4D426F21" w:rsidR="00343829" w:rsidRDefault="00343829" w:rsidP="003A3E5B">
      <w:pPr>
        <w:rPr>
          <w:b/>
          <w:i/>
          <w:lang w:eastAsia="en-AU" w:bidi="ar-SA"/>
        </w:rPr>
      </w:pPr>
    </w:p>
    <w:p w14:paraId="08AE1CF5" w14:textId="7EA3BCFC" w:rsidR="00343829" w:rsidRDefault="00343829" w:rsidP="003A3E5B">
      <w:pPr>
        <w:rPr>
          <w:b/>
          <w:i/>
          <w:lang w:eastAsia="en-AU" w:bidi="ar-SA"/>
        </w:rPr>
      </w:pPr>
      <w:r>
        <w:rPr>
          <w:b/>
          <w:i/>
          <w:lang w:eastAsia="en-AU" w:bidi="ar-SA"/>
        </w:rPr>
        <w:t xml:space="preserve">Common name: </w:t>
      </w:r>
      <w:r w:rsidRPr="00343829">
        <w:t>Potassium polyaspartate</w:t>
      </w:r>
    </w:p>
    <w:p w14:paraId="49AE31F3" w14:textId="501D4544" w:rsidR="00343829" w:rsidRDefault="00343829" w:rsidP="003A3E5B">
      <w:pPr>
        <w:rPr>
          <w:b/>
          <w:i/>
          <w:lang w:eastAsia="en-AU" w:bidi="ar-SA"/>
        </w:rPr>
      </w:pPr>
    </w:p>
    <w:p w14:paraId="0DF73133" w14:textId="2C855FB2" w:rsidR="00343829" w:rsidRPr="00343829" w:rsidRDefault="00343829" w:rsidP="00343829">
      <w:pPr>
        <w:rPr>
          <w:lang w:eastAsia="en-AU" w:bidi="ar-SA"/>
        </w:rPr>
      </w:pPr>
      <w:r w:rsidRPr="002C47DB">
        <w:rPr>
          <w:b/>
          <w:i/>
          <w:lang w:eastAsia="en-AU" w:bidi="ar-SA"/>
        </w:rPr>
        <w:t>Synonyms:</w:t>
      </w:r>
      <w:r>
        <w:rPr>
          <w:lang w:eastAsia="en-AU" w:bidi="ar-SA"/>
        </w:rPr>
        <w:t xml:space="preserve"> A-5D K/SD, A-5D K SD, A-5DK/SD, A-5DK, KPA, </w:t>
      </w:r>
    </w:p>
    <w:p w14:paraId="25D93B5E" w14:textId="77777777" w:rsidR="009D4558" w:rsidRDefault="009D4558" w:rsidP="00343829">
      <w:pPr>
        <w:rPr>
          <w:lang w:eastAsia="en-AU" w:bidi="ar-SA"/>
        </w:rPr>
      </w:pPr>
    </w:p>
    <w:p w14:paraId="2702A4BB" w14:textId="3629469E" w:rsidR="009D4558" w:rsidRDefault="00343829" w:rsidP="003A3E5B">
      <w:pPr>
        <w:rPr>
          <w:b/>
          <w:i/>
          <w:lang w:eastAsia="en-AU" w:bidi="ar-SA"/>
        </w:rPr>
      </w:pPr>
      <w:r>
        <w:rPr>
          <w:b/>
          <w:i/>
          <w:lang w:eastAsia="en-AU" w:bidi="ar-SA"/>
        </w:rPr>
        <w:t>Molecular weight</w:t>
      </w:r>
      <w:r w:rsidR="005E22B5">
        <w:rPr>
          <w:b/>
          <w:i/>
          <w:lang w:eastAsia="en-AU" w:bidi="ar-SA"/>
        </w:rPr>
        <w:t xml:space="preserve"> (average)</w:t>
      </w:r>
      <w:r>
        <w:rPr>
          <w:b/>
          <w:i/>
          <w:lang w:eastAsia="en-AU" w:bidi="ar-SA"/>
        </w:rPr>
        <w:t>:</w:t>
      </w:r>
      <w:r w:rsidR="005E64AB">
        <w:rPr>
          <w:b/>
          <w:i/>
          <w:lang w:eastAsia="en-AU" w:bidi="ar-SA"/>
        </w:rPr>
        <w:t xml:space="preserve"> </w:t>
      </w:r>
      <w:r w:rsidRPr="00343829">
        <w:t>5</w:t>
      </w:r>
      <w:r w:rsidR="005E22B5">
        <w:t>3</w:t>
      </w:r>
      <w:r w:rsidRPr="00343829">
        <w:t>00 g/mol</w:t>
      </w:r>
    </w:p>
    <w:p w14:paraId="76332A3D" w14:textId="155889B2" w:rsidR="00343829" w:rsidRDefault="00343829" w:rsidP="003A3E5B">
      <w:pPr>
        <w:rPr>
          <w:b/>
          <w:i/>
          <w:lang w:eastAsia="en-AU" w:bidi="ar-SA"/>
        </w:rPr>
      </w:pPr>
    </w:p>
    <w:p w14:paraId="00A73B3F" w14:textId="081A8A4D" w:rsidR="00343829" w:rsidRPr="00343829" w:rsidRDefault="00343829" w:rsidP="003A3E5B">
      <w:r>
        <w:rPr>
          <w:b/>
          <w:i/>
          <w:lang w:eastAsia="en-AU" w:bidi="ar-SA"/>
        </w:rPr>
        <w:t xml:space="preserve">CAS Number: </w:t>
      </w:r>
      <w:r w:rsidRPr="00343829">
        <w:t>64723-18-8</w:t>
      </w:r>
    </w:p>
    <w:p w14:paraId="7CE8AF17" w14:textId="59ADF58E" w:rsidR="00343829" w:rsidRDefault="00343829" w:rsidP="003A3E5B">
      <w:pPr>
        <w:rPr>
          <w:b/>
          <w:i/>
          <w:lang w:eastAsia="en-AU" w:bidi="ar-SA"/>
        </w:rPr>
      </w:pPr>
    </w:p>
    <w:p w14:paraId="581DDF1F" w14:textId="5A064F1D" w:rsidR="00D96DBC" w:rsidRDefault="00343829" w:rsidP="00440338">
      <w:r>
        <w:rPr>
          <w:b/>
          <w:i/>
          <w:lang w:eastAsia="en-AU" w:bidi="ar-SA"/>
        </w:rPr>
        <w:t>EC Number:</w:t>
      </w:r>
      <w:r w:rsidR="000623D8">
        <w:rPr>
          <w:b/>
          <w:i/>
          <w:lang w:eastAsia="en-AU" w:bidi="ar-SA"/>
        </w:rPr>
        <w:t xml:space="preserve"> </w:t>
      </w:r>
      <w:r w:rsidR="000623D8" w:rsidRPr="000623D8">
        <w:t>E456</w:t>
      </w:r>
      <w:bookmarkStart w:id="23" w:name="_Toc521330339"/>
      <w:bookmarkEnd w:id="23"/>
    </w:p>
    <w:p w14:paraId="3F15EB38" w14:textId="77777777" w:rsidR="003D19B3" w:rsidRDefault="003D19B3" w:rsidP="00440338">
      <w:pPr>
        <w:rPr>
          <w:lang w:eastAsia="en-AU" w:bidi="ar-SA"/>
        </w:rPr>
      </w:pPr>
      <w:bookmarkStart w:id="24" w:name="_Toc521330340"/>
    </w:p>
    <w:p w14:paraId="17338042" w14:textId="2EDB6C33" w:rsidR="00D96DBC" w:rsidRDefault="00D96DBC" w:rsidP="006662BA">
      <w:pPr>
        <w:pStyle w:val="Heading2"/>
      </w:pPr>
      <w:bookmarkStart w:id="25" w:name="_Toc522276760"/>
      <w:bookmarkStart w:id="26" w:name="_Toc522780487"/>
      <w:bookmarkStart w:id="27" w:name="_Toc524342528"/>
      <w:r>
        <w:t>2.</w:t>
      </w:r>
      <w:r w:rsidR="00F861F2">
        <w:t>3</w:t>
      </w:r>
      <w:r>
        <w:t xml:space="preserve"> Technological purpose</w:t>
      </w:r>
      <w:bookmarkEnd w:id="24"/>
      <w:bookmarkEnd w:id="25"/>
      <w:bookmarkEnd w:id="26"/>
      <w:bookmarkEnd w:id="27"/>
    </w:p>
    <w:p w14:paraId="5A1A84CD" w14:textId="19411A58" w:rsidR="00817D2D" w:rsidRDefault="0060599D" w:rsidP="00817D2D">
      <w:pPr>
        <w:rPr>
          <w:lang w:eastAsia="en-AU" w:bidi="ar-SA"/>
        </w:rPr>
      </w:pPr>
      <w:r w:rsidRPr="0060599D">
        <w:rPr>
          <w:lang w:eastAsia="en-AU" w:bidi="ar-SA"/>
        </w:rPr>
        <w:t xml:space="preserve">The technological purpose of potassium polyaspartate is as a stabiliser in wine to prevent </w:t>
      </w:r>
      <w:r w:rsidR="00D63DDE">
        <w:rPr>
          <w:lang w:eastAsia="en-AU" w:bidi="ar-SA"/>
        </w:rPr>
        <w:t xml:space="preserve">the growth of </w:t>
      </w:r>
      <w:r w:rsidR="00CE4DA1">
        <w:rPr>
          <w:lang w:eastAsia="en-AU" w:bidi="ar-SA"/>
        </w:rPr>
        <w:t xml:space="preserve">potassium bitartrate </w:t>
      </w:r>
      <w:r w:rsidR="00D63DDE">
        <w:rPr>
          <w:lang w:eastAsia="en-AU" w:bidi="ar-SA"/>
        </w:rPr>
        <w:t xml:space="preserve">crystals. </w:t>
      </w:r>
      <w:r w:rsidR="009E29E4">
        <w:rPr>
          <w:lang w:eastAsia="en-AU" w:bidi="ar-SA"/>
        </w:rPr>
        <w:t xml:space="preserve">Potassium polyaspartate </w:t>
      </w:r>
      <w:r w:rsidR="007A43B2">
        <w:rPr>
          <w:lang w:eastAsia="en-AU" w:bidi="ar-SA"/>
        </w:rPr>
        <w:t xml:space="preserve">functions as a crystallisation inhibitor </w:t>
      </w:r>
      <w:r w:rsidR="0008099A">
        <w:rPr>
          <w:lang w:eastAsia="en-AU" w:bidi="ar-SA"/>
        </w:rPr>
        <w:t>by interacting</w:t>
      </w:r>
      <w:r w:rsidR="009E29E4">
        <w:rPr>
          <w:lang w:eastAsia="en-AU" w:bidi="ar-SA"/>
        </w:rPr>
        <w:t xml:space="preserve"> with </w:t>
      </w:r>
      <w:r w:rsidR="00714519">
        <w:rPr>
          <w:lang w:eastAsia="en-AU" w:bidi="ar-SA"/>
        </w:rPr>
        <w:t>the surface of</w:t>
      </w:r>
      <w:r w:rsidR="009E29E4">
        <w:rPr>
          <w:lang w:eastAsia="en-AU" w:bidi="ar-SA"/>
        </w:rPr>
        <w:t xml:space="preserve"> potassium bitartrate</w:t>
      </w:r>
      <w:r w:rsidR="000D39FA">
        <w:rPr>
          <w:lang w:eastAsia="en-AU" w:bidi="ar-SA"/>
        </w:rPr>
        <w:t xml:space="preserve"> crystals </w:t>
      </w:r>
      <w:r w:rsidR="00714519">
        <w:rPr>
          <w:lang w:eastAsia="en-AU" w:bidi="ar-SA"/>
        </w:rPr>
        <w:t xml:space="preserve">preventing </w:t>
      </w:r>
      <w:r w:rsidR="009A53EC">
        <w:rPr>
          <w:lang w:eastAsia="en-AU" w:bidi="ar-SA"/>
        </w:rPr>
        <w:t xml:space="preserve">their </w:t>
      </w:r>
      <w:r w:rsidR="00714519">
        <w:rPr>
          <w:lang w:eastAsia="en-AU" w:bidi="ar-SA"/>
        </w:rPr>
        <w:t xml:space="preserve">growth </w:t>
      </w:r>
      <w:r w:rsidR="009E29E4">
        <w:rPr>
          <w:lang w:eastAsia="en-AU" w:bidi="ar-SA"/>
        </w:rPr>
        <w:t>(Bosso et al, 2015</w:t>
      </w:r>
      <w:r w:rsidR="00D24888">
        <w:rPr>
          <w:lang w:eastAsia="en-AU" w:bidi="ar-SA"/>
        </w:rPr>
        <w:t>b</w:t>
      </w:r>
      <w:r w:rsidR="009E29E4">
        <w:rPr>
          <w:lang w:eastAsia="en-AU" w:bidi="ar-SA"/>
        </w:rPr>
        <w:t>).</w:t>
      </w:r>
      <w:r w:rsidR="00CE4DA1">
        <w:rPr>
          <w:lang w:eastAsia="en-AU" w:bidi="ar-SA"/>
        </w:rPr>
        <w:t xml:space="preserve"> The crystals do not present a health and safety risk, but </w:t>
      </w:r>
      <w:r w:rsidR="00AE4E4A">
        <w:rPr>
          <w:lang w:eastAsia="en-AU" w:bidi="ar-SA"/>
        </w:rPr>
        <w:t xml:space="preserve">their physical presence does affect </w:t>
      </w:r>
      <w:r w:rsidR="0008099A">
        <w:rPr>
          <w:lang w:eastAsia="en-AU" w:bidi="ar-SA"/>
        </w:rPr>
        <w:t xml:space="preserve">wine </w:t>
      </w:r>
      <w:r w:rsidR="00C73BAA">
        <w:rPr>
          <w:lang w:eastAsia="en-AU" w:bidi="ar-SA"/>
        </w:rPr>
        <w:t xml:space="preserve">quality and </w:t>
      </w:r>
      <w:r w:rsidR="00CE4DA1">
        <w:rPr>
          <w:lang w:eastAsia="en-AU" w:bidi="ar-SA"/>
        </w:rPr>
        <w:t xml:space="preserve">acceptability </w:t>
      </w:r>
      <w:r w:rsidR="00E80321">
        <w:rPr>
          <w:lang w:eastAsia="en-AU" w:bidi="ar-SA"/>
        </w:rPr>
        <w:t xml:space="preserve">as they </w:t>
      </w:r>
      <w:r w:rsidR="00C73BAA">
        <w:rPr>
          <w:lang w:eastAsia="en-AU" w:bidi="ar-SA"/>
        </w:rPr>
        <w:t xml:space="preserve">can </w:t>
      </w:r>
      <w:r w:rsidR="00E80321">
        <w:rPr>
          <w:lang w:eastAsia="en-AU" w:bidi="ar-SA"/>
        </w:rPr>
        <w:t xml:space="preserve">appear </w:t>
      </w:r>
      <w:r w:rsidR="009E29D7">
        <w:rPr>
          <w:lang w:eastAsia="en-AU" w:bidi="ar-SA"/>
        </w:rPr>
        <w:t>‘</w:t>
      </w:r>
      <w:r w:rsidR="00030FAB">
        <w:rPr>
          <w:lang w:eastAsia="en-AU" w:bidi="ar-SA"/>
        </w:rPr>
        <w:t>glass like</w:t>
      </w:r>
      <w:r w:rsidR="009E29D7">
        <w:rPr>
          <w:lang w:eastAsia="en-AU" w:bidi="ar-SA"/>
        </w:rPr>
        <w:t>’</w:t>
      </w:r>
      <w:r w:rsidR="00C82B4E">
        <w:rPr>
          <w:lang w:eastAsia="en-AU" w:bidi="ar-SA"/>
        </w:rPr>
        <w:t xml:space="preserve"> to consumers</w:t>
      </w:r>
      <w:r w:rsidR="00E80321">
        <w:rPr>
          <w:lang w:eastAsia="en-AU" w:bidi="ar-SA"/>
        </w:rPr>
        <w:t xml:space="preserve">. </w:t>
      </w:r>
      <w:r w:rsidR="0008099A">
        <w:rPr>
          <w:lang w:eastAsia="en-AU" w:bidi="ar-SA"/>
        </w:rPr>
        <w:t xml:space="preserve">The crystals are </w:t>
      </w:r>
      <w:r w:rsidR="00CE4DA1">
        <w:rPr>
          <w:lang w:eastAsia="en-AU" w:bidi="ar-SA"/>
        </w:rPr>
        <w:t xml:space="preserve">more </w:t>
      </w:r>
      <w:r w:rsidR="00E80321">
        <w:rPr>
          <w:lang w:eastAsia="en-AU" w:bidi="ar-SA"/>
        </w:rPr>
        <w:t xml:space="preserve">noticeable </w:t>
      </w:r>
      <w:r w:rsidR="00CE4DA1">
        <w:rPr>
          <w:lang w:eastAsia="en-AU" w:bidi="ar-SA"/>
        </w:rPr>
        <w:t xml:space="preserve">in white and sparkling wines. </w:t>
      </w:r>
    </w:p>
    <w:p w14:paraId="3C4D0127" w14:textId="560220DE" w:rsidR="00CE4DA1" w:rsidRDefault="00CE4DA1" w:rsidP="00817D2D">
      <w:pPr>
        <w:rPr>
          <w:lang w:eastAsia="en-AU" w:bidi="ar-SA"/>
        </w:rPr>
      </w:pPr>
    </w:p>
    <w:p w14:paraId="7C118328" w14:textId="4323641F" w:rsidR="005E64AB" w:rsidRPr="005E64AB" w:rsidRDefault="00E80321" w:rsidP="001D481E">
      <w:pPr>
        <w:pStyle w:val="Heading4"/>
        <w:spacing w:before="0" w:after="0"/>
        <w:ind w:left="0" w:firstLine="0"/>
        <w:rPr>
          <w:b w:val="0"/>
          <w:i w:val="0"/>
          <w:lang w:eastAsia="en-AU"/>
        </w:rPr>
      </w:pPr>
      <w:r w:rsidRPr="005E64AB">
        <w:rPr>
          <w:b w:val="0"/>
          <w:i w:val="0"/>
          <w:lang w:eastAsia="en-AU"/>
        </w:rPr>
        <w:t xml:space="preserve">Physical and chemical processes can be used to </w:t>
      </w:r>
      <w:r w:rsidR="00CE4DA1" w:rsidRPr="005E64AB">
        <w:rPr>
          <w:b w:val="0"/>
          <w:i w:val="0"/>
          <w:lang w:eastAsia="en-AU"/>
        </w:rPr>
        <w:t xml:space="preserve">prevent the </w:t>
      </w:r>
      <w:r w:rsidR="00EA62EB">
        <w:rPr>
          <w:b w:val="0"/>
          <w:i w:val="0"/>
          <w:lang w:eastAsia="en-AU"/>
        </w:rPr>
        <w:t>growth</w:t>
      </w:r>
      <w:r w:rsidR="00CE4DA1" w:rsidRPr="005E64AB">
        <w:rPr>
          <w:b w:val="0"/>
          <w:i w:val="0"/>
          <w:lang w:eastAsia="en-AU"/>
        </w:rPr>
        <w:t xml:space="preserve"> of </w:t>
      </w:r>
      <w:r w:rsidR="007A1066">
        <w:rPr>
          <w:b w:val="0"/>
          <w:i w:val="0"/>
          <w:lang w:eastAsia="en-AU"/>
        </w:rPr>
        <w:t xml:space="preserve">and or remove </w:t>
      </w:r>
      <w:r w:rsidR="000D5738" w:rsidRPr="005E64AB">
        <w:rPr>
          <w:b w:val="0"/>
          <w:i w:val="0"/>
          <w:lang w:eastAsia="en-AU"/>
        </w:rPr>
        <w:t>tartrate</w:t>
      </w:r>
      <w:r w:rsidR="00CE4DA1" w:rsidRPr="005E64AB">
        <w:rPr>
          <w:b w:val="0"/>
          <w:i w:val="0"/>
          <w:lang w:eastAsia="en-AU"/>
        </w:rPr>
        <w:t xml:space="preserve"> crystals</w:t>
      </w:r>
      <w:r w:rsidR="0008099A">
        <w:rPr>
          <w:b w:val="0"/>
          <w:i w:val="0"/>
          <w:lang w:eastAsia="en-AU"/>
        </w:rPr>
        <w:t xml:space="preserve"> in wine</w:t>
      </w:r>
      <w:r w:rsidR="00CE4DA1" w:rsidRPr="005E64AB">
        <w:rPr>
          <w:b w:val="0"/>
          <w:i w:val="0"/>
          <w:lang w:eastAsia="en-AU"/>
        </w:rPr>
        <w:t>.</w:t>
      </w:r>
    </w:p>
    <w:p w14:paraId="0738B9FB" w14:textId="5EE393C3" w:rsidR="00CF78BA" w:rsidRDefault="00CE4DA1" w:rsidP="006662BA">
      <w:pPr>
        <w:pStyle w:val="Heading3"/>
      </w:pPr>
      <w:r>
        <w:t xml:space="preserve"> </w:t>
      </w:r>
      <w:bookmarkStart w:id="28" w:name="_Toc522276761"/>
      <w:bookmarkStart w:id="29" w:name="_Toc522780488"/>
      <w:bookmarkStart w:id="30" w:name="_Toc524342529"/>
      <w:r w:rsidR="00AF7B74">
        <w:t>2.</w:t>
      </w:r>
      <w:r w:rsidR="00F861F2">
        <w:t>3</w:t>
      </w:r>
      <w:r w:rsidR="00AF7B74">
        <w:t xml:space="preserve">.1 </w:t>
      </w:r>
      <w:r w:rsidR="00CF78BA">
        <w:t>Physical processes</w:t>
      </w:r>
      <w:bookmarkEnd w:id="28"/>
      <w:bookmarkEnd w:id="29"/>
      <w:bookmarkEnd w:id="30"/>
    </w:p>
    <w:p w14:paraId="59D16E70" w14:textId="15A282B3" w:rsidR="00CE4DA1" w:rsidRDefault="00CE4DA1" w:rsidP="00817D2D">
      <w:pPr>
        <w:rPr>
          <w:lang w:eastAsia="en-AU" w:bidi="ar-SA"/>
        </w:rPr>
      </w:pPr>
      <w:r>
        <w:rPr>
          <w:lang w:eastAsia="en-AU" w:bidi="ar-SA"/>
        </w:rPr>
        <w:t>Traditionally</w:t>
      </w:r>
      <w:r w:rsidR="00C34374">
        <w:rPr>
          <w:lang w:eastAsia="en-AU" w:bidi="ar-SA"/>
        </w:rPr>
        <w:t>,</w:t>
      </w:r>
      <w:r>
        <w:rPr>
          <w:lang w:eastAsia="en-AU" w:bidi="ar-SA"/>
        </w:rPr>
        <w:t xml:space="preserve"> a process known as cold stabilisation </w:t>
      </w:r>
      <w:r w:rsidR="00082D4C">
        <w:rPr>
          <w:lang w:eastAsia="en-AU" w:bidi="ar-SA"/>
        </w:rPr>
        <w:t>can be</w:t>
      </w:r>
      <w:r w:rsidR="00E80321">
        <w:rPr>
          <w:lang w:eastAsia="en-AU" w:bidi="ar-SA"/>
        </w:rPr>
        <w:t xml:space="preserve"> used to</w:t>
      </w:r>
      <w:r>
        <w:rPr>
          <w:lang w:eastAsia="en-AU" w:bidi="ar-SA"/>
        </w:rPr>
        <w:t xml:space="preserve"> </w:t>
      </w:r>
      <w:r w:rsidR="006F7756">
        <w:rPr>
          <w:lang w:eastAsia="en-AU" w:bidi="ar-SA"/>
        </w:rPr>
        <w:t xml:space="preserve">remove </w:t>
      </w:r>
      <w:r w:rsidR="00714519">
        <w:rPr>
          <w:lang w:eastAsia="en-AU" w:bidi="ar-SA"/>
        </w:rPr>
        <w:t>tartrate</w:t>
      </w:r>
      <w:r w:rsidR="006F7756">
        <w:rPr>
          <w:lang w:eastAsia="en-AU" w:bidi="ar-SA"/>
        </w:rPr>
        <w:t xml:space="preserve"> crystals</w:t>
      </w:r>
      <w:r w:rsidR="001E16F8">
        <w:rPr>
          <w:lang w:eastAsia="en-AU" w:bidi="ar-SA"/>
        </w:rPr>
        <w:t xml:space="preserve"> before bottling</w:t>
      </w:r>
      <w:r w:rsidR="006F7756">
        <w:rPr>
          <w:lang w:eastAsia="en-AU" w:bidi="ar-SA"/>
        </w:rPr>
        <w:t xml:space="preserve">. </w:t>
      </w:r>
      <w:r w:rsidR="00B14E2A">
        <w:rPr>
          <w:lang w:eastAsia="en-AU" w:bidi="ar-SA"/>
        </w:rPr>
        <w:t>Refrigeration is used to reduce the temperature of the wine</w:t>
      </w:r>
      <w:r w:rsidR="00C34374">
        <w:rPr>
          <w:lang w:eastAsia="en-AU" w:bidi="ar-SA"/>
        </w:rPr>
        <w:t xml:space="preserve"> - potassium </w:t>
      </w:r>
      <w:r w:rsidR="00B14E2A">
        <w:rPr>
          <w:lang w:eastAsia="en-AU" w:bidi="ar-SA"/>
        </w:rPr>
        <w:t>bitartrate precipitates</w:t>
      </w:r>
      <w:r w:rsidR="00C34374">
        <w:rPr>
          <w:lang w:eastAsia="en-AU" w:bidi="ar-SA"/>
        </w:rPr>
        <w:t xml:space="preserve"> and</w:t>
      </w:r>
      <w:r w:rsidR="00590BD3">
        <w:rPr>
          <w:lang w:eastAsia="en-AU" w:bidi="ar-SA"/>
        </w:rPr>
        <w:t xml:space="preserve"> </w:t>
      </w:r>
      <w:r w:rsidR="00613F7B">
        <w:rPr>
          <w:lang w:eastAsia="en-AU" w:bidi="ar-SA"/>
        </w:rPr>
        <w:t>is</w:t>
      </w:r>
      <w:r w:rsidR="00B14E2A">
        <w:rPr>
          <w:lang w:eastAsia="en-AU" w:bidi="ar-SA"/>
        </w:rPr>
        <w:t xml:space="preserve"> </w:t>
      </w:r>
      <w:r w:rsidR="0053038B">
        <w:rPr>
          <w:lang w:eastAsia="en-AU" w:bidi="ar-SA"/>
        </w:rPr>
        <w:t xml:space="preserve">then </w:t>
      </w:r>
      <w:r w:rsidR="00B14E2A">
        <w:rPr>
          <w:lang w:eastAsia="en-AU" w:bidi="ar-SA"/>
        </w:rPr>
        <w:t>removed</w:t>
      </w:r>
      <w:r w:rsidR="007A322A">
        <w:rPr>
          <w:lang w:eastAsia="en-AU" w:bidi="ar-SA"/>
        </w:rPr>
        <w:t xml:space="preserve"> </w:t>
      </w:r>
      <w:r w:rsidR="00C34374">
        <w:rPr>
          <w:lang w:eastAsia="en-AU" w:bidi="ar-SA"/>
        </w:rPr>
        <w:t xml:space="preserve">by </w:t>
      </w:r>
      <w:r w:rsidR="007A322A">
        <w:rPr>
          <w:lang w:eastAsia="en-AU" w:bidi="ar-SA"/>
        </w:rPr>
        <w:t>filtration</w:t>
      </w:r>
      <w:r w:rsidR="00B14E2A">
        <w:rPr>
          <w:lang w:eastAsia="en-AU" w:bidi="ar-SA"/>
        </w:rPr>
        <w:t xml:space="preserve">. </w:t>
      </w:r>
      <w:r w:rsidR="00C34374">
        <w:rPr>
          <w:lang w:eastAsia="en-AU" w:bidi="ar-SA"/>
        </w:rPr>
        <w:t>Alternative</w:t>
      </w:r>
      <w:r w:rsidR="006F7756">
        <w:rPr>
          <w:lang w:eastAsia="en-AU" w:bidi="ar-SA"/>
        </w:rPr>
        <w:t xml:space="preserve"> </w:t>
      </w:r>
      <w:r w:rsidR="00460998">
        <w:rPr>
          <w:lang w:eastAsia="en-AU" w:bidi="ar-SA"/>
        </w:rPr>
        <w:t xml:space="preserve">technologies </w:t>
      </w:r>
      <w:r w:rsidR="006F7756">
        <w:rPr>
          <w:lang w:eastAsia="en-AU" w:bidi="ar-SA"/>
        </w:rPr>
        <w:t>such as electrodialysis and cation exchangers</w:t>
      </w:r>
      <w:r w:rsidR="00C73BAA">
        <w:rPr>
          <w:lang w:eastAsia="en-AU" w:bidi="ar-SA"/>
        </w:rPr>
        <w:t xml:space="preserve"> </w:t>
      </w:r>
      <w:r w:rsidR="00C34374">
        <w:rPr>
          <w:lang w:eastAsia="en-AU" w:bidi="ar-SA"/>
        </w:rPr>
        <w:t xml:space="preserve">are also </w:t>
      </w:r>
      <w:r w:rsidR="00DF7AC1">
        <w:rPr>
          <w:lang w:eastAsia="en-AU" w:bidi="ar-SA"/>
        </w:rPr>
        <w:t>available</w:t>
      </w:r>
      <w:r w:rsidR="00C34374">
        <w:rPr>
          <w:lang w:eastAsia="en-AU" w:bidi="ar-SA"/>
        </w:rPr>
        <w:t xml:space="preserve">, but like the use of </w:t>
      </w:r>
      <w:r w:rsidR="007A322A">
        <w:rPr>
          <w:lang w:eastAsia="en-AU" w:bidi="ar-SA"/>
        </w:rPr>
        <w:t>refrigeration for cold stabilisation</w:t>
      </w:r>
      <w:r w:rsidR="00C34374">
        <w:rPr>
          <w:lang w:eastAsia="en-AU" w:bidi="ar-SA"/>
        </w:rPr>
        <w:t xml:space="preserve">, they are costly, </w:t>
      </w:r>
      <w:r w:rsidR="00C20AF1">
        <w:rPr>
          <w:lang w:eastAsia="en-AU" w:bidi="ar-SA"/>
        </w:rPr>
        <w:t>especially for smaller wineries</w:t>
      </w:r>
      <w:r w:rsidR="007A322A">
        <w:rPr>
          <w:lang w:eastAsia="en-AU" w:bidi="ar-SA"/>
        </w:rPr>
        <w:t xml:space="preserve">. </w:t>
      </w:r>
      <w:r w:rsidR="00CF78BA">
        <w:rPr>
          <w:lang w:eastAsia="en-AU" w:bidi="ar-SA"/>
        </w:rPr>
        <w:t xml:space="preserve"> </w:t>
      </w:r>
    </w:p>
    <w:p w14:paraId="0BD88843" w14:textId="0FC0AE6F" w:rsidR="00CF78BA" w:rsidRDefault="00AF7B74" w:rsidP="006662BA">
      <w:pPr>
        <w:pStyle w:val="Heading3"/>
      </w:pPr>
      <w:bookmarkStart w:id="31" w:name="_Toc522276762"/>
      <w:bookmarkStart w:id="32" w:name="_Toc522780489"/>
      <w:bookmarkStart w:id="33" w:name="_Toc524342530"/>
      <w:r>
        <w:t>2.</w:t>
      </w:r>
      <w:r w:rsidR="00F861F2">
        <w:t>3</w:t>
      </w:r>
      <w:r>
        <w:t xml:space="preserve">.2 </w:t>
      </w:r>
      <w:r w:rsidR="00CF78BA">
        <w:t>Chemical processes</w:t>
      </w:r>
      <w:r w:rsidR="00DF7AC1">
        <w:t xml:space="preserve"> – use of food additives</w:t>
      </w:r>
      <w:bookmarkEnd w:id="31"/>
      <w:bookmarkEnd w:id="32"/>
      <w:bookmarkEnd w:id="33"/>
    </w:p>
    <w:p w14:paraId="7BF8DDA0" w14:textId="1CBADADD" w:rsidR="00CF78BA" w:rsidRDefault="00CF78BA" w:rsidP="00817D2D">
      <w:pPr>
        <w:rPr>
          <w:lang w:eastAsia="en-AU" w:bidi="ar-SA"/>
        </w:rPr>
      </w:pPr>
      <w:r>
        <w:rPr>
          <w:lang w:eastAsia="en-AU" w:bidi="ar-SA"/>
        </w:rPr>
        <w:t xml:space="preserve">Metatartic acid, cellulose gums and </w:t>
      </w:r>
      <w:r w:rsidR="00093DBE">
        <w:rPr>
          <w:lang w:eastAsia="en-AU" w:bidi="ar-SA"/>
        </w:rPr>
        <w:t xml:space="preserve">yeast </w:t>
      </w:r>
      <w:r>
        <w:rPr>
          <w:lang w:eastAsia="en-AU" w:bidi="ar-SA"/>
        </w:rPr>
        <w:t xml:space="preserve">mannoproteins </w:t>
      </w:r>
      <w:r w:rsidR="00C20AF1">
        <w:rPr>
          <w:lang w:eastAsia="en-AU" w:bidi="ar-SA"/>
        </w:rPr>
        <w:t>are permitted for</w:t>
      </w:r>
      <w:r>
        <w:rPr>
          <w:lang w:eastAsia="en-AU" w:bidi="ar-SA"/>
        </w:rPr>
        <w:t xml:space="preserve"> use to sta</w:t>
      </w:r>
      <w:r w:rsidR="00532991">
        <w:rPr>
          <w:lang w:eastAsia="en-AU" w:bidi="ar-SA"/>
        </w:rPr>
        <w:t>bi</w:t>
      </w:r>
      <w:r>
        <w:rPr>
          <w:lang w:eastAsia="en-AU" w:bidi="ar-SA"/>
        </w:rPr>
        <w:t>lise wine and pre</w:t>
      </w:r>
      <w:r w:rsidR="00A61855">
        <w:rPr>
          <w:lang w:eastAsia="en-AU" w:bidi="ar-SA"/>
        </w:rPr>
        <w:t xml:space="preserve">vent </w:t>
      </w:r>
      <w:r w:rsidR="00C82B4E">
        <w:rPr>
          <w:lang w:eastAsia="en-AU" w:bidi="ar-SA"/>
        </w:rPr>
        <w:t xml:space="preserve">tartrate </w:t>
      </w:r>
      <w:r w:rsidR="00D63DDE">
        <w:rPr>
          <w:lang w:eastAsia="en-AU" w:bidi="ar-SA"/>
        </w:rPr>
        <w:t>crystallisation</w:t>
      </w:r>
      <w:r w:rsidR="00A61855">
        <w:rPr>
          <w:lang w:eastAsia="en-AU" w:bidi="ar-SA"/>
        </w:rPr>
        <w:t xml:space="preserve"> but all have disadvantages</w:t>
      </w:r>
      <w:r w:rsidR="003C69A2">
        <w:rPr>
          <w:lang w:eastAsia="en-AU" w:bidi="ar-SA"/>
        </w:rPr>
        <w:t xml:space="preserve"> compared with potassium polyaspartate</w:t>
      </w:r>
      <w:r w:rsidR="00A61855">
        <w:rPr>
          <w:lang w:eastAsia="en-AU" w:bidi="ar-SA"/>
        </w:rPr>
        <w:t xml:space="preserve">. </w:t>
      </w:r>
    </w:p>
    <w:p w14:paraId="51900B1E" w14:textId="125C05CE" w:rsidR="00BB25BA" w:rsidRDefault="00BB25BA" w:rsidP="00817D2D">
      <w:pPr>
        <w:rPr>
          <w:lang w:eastAsia="en-AU" w:bidi="ar-SA"/>
        </w:rPr>
      </w:pPr>
    </w:p>
    <w:p w14:paraId="3BB6F61B" w14:textId="697734C6" w:rsidR="00BB25BA" w:rsidRDefault="00C20AF1" w:rsidP="00817D2D">
      <w:pPr>
        <w:rPr>
          <w:lang w:eastAsia="en-AU" w:bidi="ar-SA"/>
        </w:rPr>
      </w:pPr>
      <w:r>
        <w:rPr>
          <w:lang w:eastAsia="en-AU" w:bidi="ar-SA"/>
        </w:rPr>
        <w:t>P</w:t>
      </w:r>
      <w:r w:rsidR="00BB25BA">
        <w:rPr>
          <w:lang w:eastAsia="en-AU" w:bidi="ar-SA"/>
        </w:rPr>
        <w:t>otassium polyaspartate has significant advantages including</w:t>
      </w:r>
      <w:r w:rsidR="0060599D">
        <w:rPr>
          <w:lang w:eastAsia="en-AU" w:bidi="ar-SA"/>
        </w:rPr>
        <w:t xml:space="preserve"> being</w:t>
      </w:r>
      <w:r w:rsidR="00BB25BA">
        <w:rPr>
          <w:lang w:eastAsia="en-AU" w:bidi="ar-SA"/>
        </w:rPr>
        <w:t>:</w:t>
      </w:r>
    </w:p>
    <w:p w14:paraId="596BB96A" w14:textId="77777777" w:rsidR="00A04533" w:rsidRDefault="00A04533" w:rsidP="00817D2D">
      <w:pPr>
        <w:rPr>
          <w:lang w:eastAsia="en-AU" w:bidi="ar-SA"/>
        </w:rPr>
      </w:pPr>
    </w:p>
    <w:p w14:paraId="7CEB6225" w14:textId="778E5F5F" w:rsidR="00BB25BA" w:rsidRDefault="0060599D" w:rsidP="00BB25BA">
      <w:pPr>
        <w:pStyle w:val="ListParagraph"/>
        <w:numPr>
          <w:ilvl w:val="0"/>
          <w:numId w:val="5"/>
        </w:numPr>
        <w:rPr>
          <w:lang w:eastAsia="en-AU" w:bidi="ar-SA"/>
        </w:rPr>
      </w:pPr>
      <w:r>
        <w:rPr>
          <w:lang w:eastAsia="en-AU" w:bidi="ar-SA"/>
        </w:rPr>
        <w:t>m</w:t>
      </w:r>
      <w:r w:rsidR="00BB25BA">
        <w:rPr>
          <w:lang w:eastAsia="en-AU" w:bidi="ar-SA"/>
        </w:rPr>
        <w:t xml:space="preserve">ore efficient than other food additives in preventing </w:t>
      </w:r>
      <w:r w:rsidR="00EA62EB">
        <w:rPr>
          <w:lang w:eastAsia="en-AU" w:bidi="ar-SA"/>
        </w:rPr>
        <w:t>the growth of potassium bi</w:t>
      </w:r>
      <w:r w:rsidR="00BB25BA">
        <w:rPr>
          <w:lang w:eastAsia="en-AU" w:bidi="ar-SA"/>
        </w:rPr>
        <w:t>tartrate crystals</w:t>
      </w:r>
    </w:p>
    <w:p w14:paraId="6110E248" w14:textId="21DB52FF" w:rsidR="00273077" w:rsidRDefault="0060599D" w:rsidP="00BB25BA">
      <w:pPr>
        <w:pStyle w:val="ListParagraph"/>
        <w:numPr>
          <w:ilvl w:val="0"/>
          <w:numId w:val="5"/>
        </w:numPr>
        <w:rPr>
          <w:lang w:eastAsia="en-AU" w:bidi="ar-SA"/>
        </w:rPr>
      </w:pPr>
      <w:r>
        <w:rPr>
          <w:lang w:eastAsia="en-AU" w:bidi="ar-SA"/>
        </w:rPr>
        <w:t>c</w:t>
      </w:r>
      <w:r w:rsidR="00273077">
        <w:rPr>
          <w:lang w:eastAsia="en-AU" w:bidi="ar-SA"/>
        </w:rPr>
        <w:t xml:space="preserve">ost effective, </w:t>
      </w:r>
      <w:r w:rsidR="00093DBE">
        <w:rPr>
          <w:lang w:eastAsia="en-AU" w:bidi="ar-SA"/>
        </w:rPr>
        <w:t>especially</w:t>
      </w:r>
      <w:r w:rsidR="00273077">
        <w:rPr>
          <w:lang w:eastAsia="en-AU" w:bidi="ar-SA"/>
        </w:rPr>
        <w:t xml:space="preserve"> for smaller winemakers</w:t>
      </w:r>
    </w:p>
    <w:p w14:paraId="0D693B05" w14:textId="241F47B9" w:rsidR="00BB25BA" w:rsidRDefault="0060599D" w:rsidP="00BB25BA">
      <w:pPr>
        <w:pStyle w:val="ListParagraph"/>
        <w:numPr>
          <w:ilvl w:val="0"/>
          <w:numId w:val="5"/>
        </w:numPr>
        <w:rPr>
          <w:lang w:eastAsia="en-AU" w:bidi="ar-SA"/>
        </w:rPr>
      </w:pPr>
      <w:r>
        <w:rPr>
          <w:lang w:eastAsia="en-AU" w:bidi="ar-SA"/>
        </w:rPr>
        <w:t>suitable for use</w:t>
      </w:r>
      <w:r w:rsidR="00BB25BA">
        <w:rPr>
          <w:lang w:eastAsia="en-AU" w:bidi="ar-SA"/>
        </w:rPr>
        <w:t xml:space="preserve"> in all wines – varieties, origin and </w:t>
      </w:r>
      <w:r w:rsidR="00093DBE">
        <w:rPr>
          <w:lang w:eastAsia="en-AU" w:bidi="ar-SA"/>
        </w:rPr>
        <w:t xml:space="preserve">varying levels of </w:t>
      </w:r>
      <w:r w:rsidR="00022A71">
        <w:rPr>
          <w:lang w:eastAsia="en-AU" w:bidi="ar-SA"/>
        </w:rPr>
        <w:t xml:space="preserve">potassium bitartrate </w:t>
      </w:r>
      <w:r w:rsidR="00BB25BA">
        <w:rPr>
          <w:lang w:eastAsia="en-AU" w:bidi="ar-SA"/>
        </w:rPr>
        <w:t>instability</w:t>
      </w:r>
    </w:p>
    <w:p w14:paraId="33EF118A" w14:textId="2A2AB8B0" w:rsidR="00BB25BA" w:rsidRDefault="0060599D" w:rsidP="00BB25BA">
      <w:pPr>
        <w:pStyle w:val="ListParagraph"/>
        <w:numPr>
          <w:ilvl w:val="0"/>
          <w:numId w:val="5"/>
        </w:numPr>
        <w:rPr>
          <w:lang w:eastAsia="en-AU" w:bidi="ar-SA"/>
        </w:rPr>
      </w:pPr>
      <w:r>
        <w:rPr>
          <w:lang w:eastAsia="en-AU" w:bidi="ar-SA"/>
        </w:rPr>
        <w:t>able to be used without</w:t>
      </w:r>
      <w:r w:rsidR="00BB25BA">
        <w:rPr>
          <w:lang w:eastAsia="en-AU" w:bidi="ar-SA"/>
        </w:rPr>
        <w:t xml:space="preserve"> effect</w:t>
      </w:r>
      <w:r>
        <w:rPr>
          <w:lang w:eastAsia="en-AU" w:bidi="ar-SA"/>
        </w:rPr>
        <w:t>ing</w:t>
      </w:r>
      <w:r w:rsidR="00BB25BA">
        <w:rPr>
          <w:lang w:eastAsia="en-AU" w:bidi="ar-SA"/>
        </w:rPr>
        <w:t xml:space="preserve"> </w:t>
      </w:r>
      <w:r>
        <w:rPr>
          <w:lang w:eastAsia="en-AU" w:bidi="ar-SA"/>
        </w:rPr>
        <w:t>the</w:t>
      </w:r>
      <w:r w:rsidR="00BB25BA">
        <w:rPr>
          <w:lang w:eastAsia="en-AU" w:bidi="ar-SA"/>
        </w:rPr>
        <w:t xml:space="preserve"> taste or aroma of wines </w:t>
      </w:r>
    </w:p>
    <w:p w14:paraId="6EAB3B8D" w14:textId="7C18209F" w:rsidR="00C20AF1" w:rsidRDefault="00616BE0" w:rsidP="00BB25BA">
      <w:pPr>
        <w:pStyle w:val="ListParagraph"/>
        <w:numPr>
          <w:ilvl w:val="0"/>
          <w:numId w:val="5"/>
        </w:numPr>
        <w:rPr>
          <w:lang w:eastAsia="en-AU" w:bidi="ar-SA"/>
        </w:rPr>
      </w:pPr>
      <w:r>
        <w:rPr>
          <w:lang w:eastAsia="en-AU" w:bidi="ar-SA"/>
        </w:rPr>
        <w:t xml:space="preserve">easy to solubilise in water and </w:t>
      </w:r>
      <w:r w:rsidR="00C20AF1">
        <w:rPr>
          <w:lang w:eastAsia="en-AU" w:bidi="ar-SA"/>
        </w:rPr>
        <w:t xml:space="preserve">mix </w:t>
      </w:r>
      <w:r w:rsidR="00921398">
        <w:rPr>
          <w:lang w:eastAsia="en-AU" w:bidi="ar-SA"/>
        </w:rPr>
        <w:t xml:space="preserve">in </w:t>
      </w:r>
      <w:r w:rsidR="00C20AF1">
        <w:rPr>
          <w:lang w:eastAsia="en-AU" w:bidi="ar-SA"/>
        </w:rPr>
        <w:t>before bottling</w:t>
      </w:r>
    </w:p>
    <w:p w14:paraId="057CD2F8" w14:textId="6B4B4491" w:rsidR="00C20AF1" w:rsidRDefault="00C20AF1" w:rsidP="00BB25BA">
      <w:pPr>
        <w:pStyle w:val="ListParagraph"/>
        <w:numPr>
          <w:ilvl w:val="0"/>
          <w:numId w:val="5"/>
        </w:numPr>
        <w:rPr>
          <w:lang w:eastAsia="en-AU" w:bidi="ar-SA"/>
        </w:rPr>
      </w:pPr>
      <w:r>
        <w:rPr>
          <w:lang w:eastAsia="en-AU" w:bidi="ar-SA"/>
        </w:rPr>
        <w:t>not removed on filtering</w:t>
      </w:r>
    </w:p>
    <w:p w14:paraId="154D1F14" w14:textId="6BE846DF" w:rsidR="00BB25BA" w:rsidRDefault="00BB25BA" w:rsidP="00BB25BA">
      <w:pPr>
        <w:pStyle w:val="ListParagraph"/>
        <w:numPr>
          <w:ilvl w:val="0"/>
          <w:numId w:val="5"/>
        </w:numPr>
        <w:rPr>
          <w:lang w:eastAsia="en-AU" w:bidi="ar-SA"/>
        </w:rPr>
      </w:pPr>
      <w:r>
        <w:rPr>
          <w:lang w:eastAsia="en-AU" w:bidi="ar-SA"/>
        </w:rPr>
        <w:t>stable during storage</w:t>
      </w:r>
    </w:p>
    <w:p w14:paraId="5B5B7E50" w14:textId="77777777" w:rsidR="00BB25BA" w:rsidDel="005E22B5" w:rsidRDefault="0060599D" w:rsidP="0060599D">
      <w:pPr>
        <w:pStyle w:val="ListParagraph"/>
        <w:numPr>
          <w:ilvl w:val="0"/>
          <w:numId w:val="5"/>
        </w:numPr>
        <w:rPr>
          <w:lang w:eastAsia="en-AU" w:bidi="ar-SA"/>
        </w:rPr>
      </w:pPr>
      <w:r w:rsidRPr="0060599D">
        <w:rPr>
          <w:lang w:eastAsia="en-AU" w:bidi="ar-SA"/>
        </w:rPr>
        <w:t xml:space="preserve">able to be used without </w:t>
      </w:r>
      <w:r>
        <w:rPr>
          <w:lang w:eastAsia="en-AU" w:bidi="ar-SA"/>
        </w:rPr>
        <w:t>effecting</w:t>
      </w:r>
      <w:r w:rsidR="00BB25BA">
        <w:rPr>
          <w:lang w:eastAsia="en-AU" w:bidi="ar-SA"/>
        </w:rPr>
        <w:t xml:space="preserve"> colour stability in red wines</w:t>
      </w:r>
    </w:p>
    <w:p w14:paraId="0C5FB566" w14:textId="6DBF34DA" w:rsidR="00BB25BA" w:rsidRDefault="00BB25BA" w:rsidP="00BB25BA">
      <w:pPr>
        <w:pStyle w:val="ListParagraph"/>
        <w:numPr>
          <w:ilvl w:val="0"/>
          <w:numId w:val="5"/>
        </w:numPr>
        <w:rPr>
          <w:lang w:eastAsia="en-AU" w:bidi="ar-SA"/>
        </w:rPr>
      </w:pPr>
      <w:r>
        <w:rPr>
          <w:lang w:eastAsia="en-AU" w:bidi="ar-SA"/>
        </w:rPr>
        <w:t>safe for operators to use</w:t>
      </w:r>
    </w:p>
    <w:p w14:paraId="159B663B" w14:textId="14A50E08" w:rsidR="00AA5316" w:rsidRPr="00F230A5" w:rsidRDefault="00D96DBC" w:rsidP="00F230A5">
      <w:pPr>
        <w:pStyle w:val="Heading2"/>
      </w:pPr>
      <w:bookmarkStart w:id="34" w:name="_Toc521330341"/>
      <w:bookmarkStart w:id="35" w:name="_Toc522276763"/>
      <w:bookmarkStart w:id="36" w:name="_Toc522780490"/>
      <w:bookmarkStart w:id="37" w:name="_Toc524342531"/>
      <w:r>
        <w:t>2.</w:t>
      </w:r>
      <w:r w:rsidR="00F861F2">
        <w:t>4</w:t>
      </w:r>
      <w:r>
        <w:t xml:space="preserve"> Technological justification</w:t>
      </w:r>
      <w:bookmarkEnd w:id="34"/>
      <w:bookmarkEnd w:id="35"/>
      <w:bookmarkEnd w:id="36"/>
      <w:bookmarkEnd w:id="37"/>
    </w:p>
    <w:p w14:paraId="62F5FC25" w14:textId="0CC29BD0" w:rsidR="00030159" w:rsidRDefault="00030159" w:rsidP="00030159">
      <w:pPr>
        <w:rPr>
          <w:lang w:eastAsia="en-AU" w:bidi="ar-SA"/>
        </w:rPr>
      </w:pPr>
      <w:r>
        <w:rPr>
          <w:lang w:eastAsia="en-AU" w:bidi="ar-SA"/>
        </w:rPr>
        <w:t xml:space="preserve">The addition of </w:t>
      </w:r>
      <w:r w:rsidR="005B4ECE">
        <w:rPr>
          <w:lang w:eastAsia="en-AU" w:bidi="ar-SA"/>
        </w:rPr>
        <w:t xml:space="preserve">up to </w:t>
      </w:r>
      <w:r>
        <w:rPr>
          <w:lang w:eastAsia="en-AU" w:bidi="ar-SA"/>
        </w:rPr>
        <w:t>100</w:t>
      </w:r>
      <w:r w:rsidR="00CF6035">
        <w:rPr>
          <w:lang w:eastAsia="en-AU" w:bidi="ar-SA"/>
        </w:rPr>
        <w:t xml:space="preserve"> </w:t>
      </w:r>
      <w:r>
        <w:rPr>
          <w:lang w:eastAsia="en-AU" w:bidi="ar-SA"/>
        </w:rPr>
        <w:t xml:space="preserve">mg/L potassium polyaspartate to wine </w:t>
      </w:r>
      <w:r w:rsidR="00D63DDE">
        <w:rPr>
          <w:lang w:eastAsia="en-AU" w:bidi="ar-SA"/>
        </w:rPr>
        <w:t>prevents</w:t>
      </w:r>
      <w:r>
        <w:rPr>
          <w:lang w:eastAsia="en-AU" w:bidi="ar-SA"/>
        </w:rPr>
        <w:t xml:space="preserve"> the </w:t>
      </w:r>
      <w:r w:rsidR="00EA62EB">
        <w:rPr>
          <w:lang w:eastAsia="en-AU" w:bidi="ar-SA"/>
        </w:rPr>
        <w:t>growth</w:t>
      </w:r>
      <w:r>
        <w:rPr>
          <w:lang w:eastAsia="en-AU" w:bidi="ar-SA"/>
        </w:rPr>
        <w:t xml:space="preserve"> of </w:t>
      </w:r>
      <w:r w:rsidR="00EA62EB">
        <w:rPr>
          <w:lang w:eastAsia="en-AU" w:bidi="ar-SA"/>
        </w:rPr>
        <w:t>potassium bi</w:t>
      </w:r>
      <w:r>
        <w:rPr>
          <w:lang w:eastAsia="en-AU" w:bidi="ar-SA"/>
        </w:rPr>
        <w:t xml:space="preserve">tartrate crystals. </w:t>
      </w:r>
      <w:r w:rsidR="00C156B5">
        <w:rPr>
          <w:lang w:eastAsia="en-AU" w:bidi="ar-SA"/>
        </w:rPr>
        <w:t xml:space="preserve"> </w:t>
      </w:r>
    </w:p>
    <w:p w14:paraId="0595BA98" w14:textId="49E11338" w:rsidR="00030159" w:rsidRDefault="00030159" w:rsidP="00030159">
      <w:pPr>
        <w:rPr>
          <w:lang w:eastAsia="en-AU" w:bidi="ar-SA"/>
        </w:rPr>
      </w:pPr>
    </w:p>
    <w:p w14:paraId="1D5B303F" w14:textId="134243CC" w:rsidR="00955C5E" w:rsidRDefault="00EE64C5" w:rsidP="00955C5E">
      <w:pPr>
        <w:rPr>
          <w:lang w:eastAsia="en-AU" w:bidi="ar-SA"/>
        </w:rPr>
      </w:pPr>
      <w:r>
        <w:rPr>
          <w:lang w:eastAsia="en-AU" w:bidi="ar-SA"/>
        </w:rPr>
        <w:t xml:space="preserve">The </w:t>
      </w:r>
      <w:r w:rsidR="00BC39D3">
        <w:rPr>
          <w:lang w:eastAsia="en-AU" w:bidi="ar-SA"/>
        </w:rPr>
        <w:t>International Organisation</w:t>
      </w:r>
      <w:r>
        <w:rPr>
          <w:lang w:eastAsia="en-AU" w:bidi="ar-SA"/>
        </w:rPr>
        <w:t xml:space="preserve"> of </w:t>
      </w:r>
      <w:r w:rsidR="00BC39D3">
        <w:rPr>
          <w:lang w:eastAsia="en-AU" w:bidi="ar-SA"/>
        </w:rPr>
        <w:t>Vine</w:t>
      </w:r>
      <w:r>
        <w:rPr>
          <w:lang w:eastAsia="en-AU" w:bidi="ar-SA"/>
        </w:rPr>
        <w:t xml:space="preserve"> and </w:t>
      </w:r>
      <w:r w:rsidR="00BC39D3">
        <w:rPr>
          <w:lang w:eastAsia="en-AU" w:bidi="ar-SA"/>
        </w:rPr>
        <w:t>W</w:t>
      </w:r>
      <w:r>
        <w:rPr>
          <w:lang w:eastAsia="en-AU" w:bidi="ar-SA"/>
        </w:rPr>
        <w:t xml:space="preserve">ine (OIV)  </w:t>
      </w:r>
      <w:r w:rsidR="005B4ECE">
        <w:rPr>
          <w:lang w:eastAsia="en-AU" w:bidi="ar-SA"/>
        </w:rPr>
        <w:t xml:space="preserve">recommend </w:t>
      </w:r>
      <w:r w:rsidR="00CF6035">
        <w:rPr>
          <w:lang w:eastAsia="en-AU" w:bidi="ar-SA"/>
        </w:rPr>
        <w:t xml:space="preserve">treatment </w:t>
      </w:r>
      <w:r w:rsidR="005B4ECE">
        <w:rPr>
          <w:lang w:eastAsia="en-AU" w:bidi="ar-SA"/>
        </w:rPr>
        <w:t xml:space="preserve">of wine </w:t>
      </w:r>
      <w:r w:rsidR="00955C5E">
        <w:rPr>
          <w:lang w:eastAsia="en-AU" w:bidi="ar-SA"/>
        </w:rPr>
        <w:t xml:space="preserve">with potassium polyaspartate </w:t>
      </w:r>
      <w:r w:rsidR="00251BA8">
        <w:rPr>
          <w:lang w:eastAsia="en-AU" w:bidi="ar-SA"/>
        </w:rPr>
        <w:t>that does not exceed</w:t>
      </w:r>
      <w:r w:rsidR="00955C5E">
        <w:rPr>
          <w:lang w:eastAsia="en-AU" w:bidi="ar-SA"/>
        </w:rPr>
        <w:t xml:space="preserve"> 100</w:t>
      </w:r>
      <w:r w:rsidR="00CF6035">
        <w:rPr>
          <w:lang w:eastAsia="en-AU" w:bidi="ar-SA"/>
        </w:rPr>
        <w:t> </w:t>
      </w:r>
      <w:r w:rsidR="00955C5E">
        <w:rPr>
          <w:lang w:eastAsia="en-AU" w:bidi="ar-SA"/>
        </w:rPr>
        <w:t xml:space="preserve">mg/L. This is because there are no further improvements to stabilisation of wine </w:t>
      </w:r>
      <w:r w:rsidR="00A806CF">
        <w:rPr>
          <w:lang w:eastAsia="en-AU" w:bidi="ar-SA"/>
        </w:rPr>
        <w:t xml:space="preserve">with higher use levels </w:t>
      </w:r>
      <w:r w:rsidR="00955C5E">
        <w:rPr>
          <w:lang w:eastAsia="en-AU" w:bidi="ar-SA"/>
        </w:rPr>
        <w:t xml:space="preserve">and in some cases </w:t>
      </w:r>
      <w:r w:rsidR="00401B52">
        <w:rPr>
          <w:lang w:eastAsia="en-AU" w:bidi="ar-SA"/>
        </w:rPr>
        <w:t xml:space="preserve">this </w:t>
      </w:r>
      <w:r w:rsidR="00955C5E">
        <w:rPr>
          <w:lang w:eastAsia="en-AU" w:bidi="ar-SA"/>
        </w:rPr>
        <w:t xml:space="preserve">may result in turbidity (OIV, 2017b). </w:t>
      </w:r>
    </w:p>
    <w:p w14:paraId="796013DA" w14:textId="77777777" w:rsidR="00955C5E" w:rsidRDefault="00955C5E" w:rsidP="00955C5E">
      <w:pPr>
        <w:rPr>
          <w:lang w:eastAsia="en-AU" w:bidi="ar-SA"/>
        </w:rPr>
      </w:pPr>
    </w:p>
    <w:p w14:paraId="502EF9D1" w14:textId="45EE9304" w:rsidR="001C5A3F" w:rsidRDefault="00030FAB" w:rsidP="001C5A3F">
      <w:pPr>
        <w:rPr>
          <w:lang w:eastAsia="en-AU" w:bidi="ar-SA"/>
        </w:rPr>
      </w:pPr>
      <w:r>
        <w:rPr>
          <w:lang w:eastAsia="en-AU" w:bidi="ar-SA"/>
        </w:rPr>
        <w:t>Potassium polyaspartate is</w:t>
      </w:r>
      <w:r w:rsidR="00EB18DB">
        <w:rPr>
          <w:lang w:eastAsia="en-AU" w:bidi="ar-SA"/>
        </w:rPr>
        <w:t xml:space="preserve"> </w:t>
      </w:r>
      <w:r w:rsidR="00794A8B">
        <w:rPr>
          <w:lang w:eastAsia="en-AU" w:bidi="ar-SA"/>
        </w:rPr>
        <w:t xml:space="preserve">relatively </w:t>
      </w:r>
      <w:r w:rsidR="00090B6B">
        <w:rPr>
          <w:lang w:eastAsia="en-AU" w:bidi="ar-SA"/>
        </w:rPr>
        <w:t>eas</w:t>
      </w:r>
      <w:r w:rsidR="00794A8B">
        <w:rPr>
          <w:lang w:eastAsia="en-AU" w:bidi="ar-SA"/>
        </w:rPr>
        <w:t>y</w:t>
      </w:r>
      <w:r w:rsidR="00EB18DB">
        <w:rPr>
          <w:lang w:eastAsia="en-AU" w:bidi="ar-SA"/>
        </w:rPr>
        <w:t xml:space="preserve"> to solubilise in water and wine</w:t>
      </w:r>
      <w:r w:rsidR="00090B6B">
        <w:rPr>
          <w:lang w:eastAsia="en-AU" w:bidi="ar-SA"/>
        </w:rPr>
        <w:t>.</w:t>
      </w:r>
      <w:r w:rsidR="00EB18DB">
        <w:rPr>
          <w:lang w:eastAsia="en-AU" w:bidi="ar-SA"/>
        </w:rPr>
        <w:t xml:space="preserve"> </w:t>
      </w:r>
      <w:r w:rsidR="005B4ECE">
        <w:rPr>
          <w:lang w:eastAsia="en-AU" w:bidi="ar-SA"/>
        </w:rPr>
        <w:t>P</w:t>
      </w:r>
      <w:r w:rsidR="001C5A3F">
        <w:rPr>
          <w:lang w:eastAsia="en-AU" w:bidi="ar-SA"/>
        </w:rPr>
        <w:t xml:space="preserve">otassium polyaspartate </w:t>
      </w:r>
      <w:r w:rsidR="00A806CF">
        <w:rPr>
          <w:lang w:eastAsia="en-AU" w:bidi="ar-SA"/>
        </w:rPr>
        <w:t xml:space="preserve">needs to be prepared </w:t>
      </w:r>
      <w:r w:rsidR="001C5A3F">
        <w:rPr>
          <w:lang w:eastAsia="en-AU" w:bidi="ar-SA"/>
        </w:rPr>
        <w:t xml:space="preserve">in cold water or wine at ten times the weight </w:t>
      </w:r>
      <w:r w:rsidR="005B4ECE">
        <w:rPr>
          <w:lang w:eastAsia="en-AU" w:bidi="ar-SA"/>
        </w:rPr>
        <w:t>for use in winemaking</w:t>
      </w:r>
      <w:r w:rsidR="001C5A3F">
        <w:rPr>
          <w:lang w:eastAsia="en-AU" w:bidi="ar-SA"/>
        </w:rPr>
        <w:t>. Th</w:t>
      </w:r>
      <w:r w:rsidR="005B4ECE">
        <w:rPr>
          <w:lang w:eastAsia="en-AU" w:bidi="ar-SA"/>
        </w:rPr>
        <w:t>e</w:t>
      </w:r>
      <w:r w:rsidR="001C5A3F">
        <w:rPr>
          <w:lang w:eastAsia="en-AU" w:bidi="ar-SA"/>
        </w:rPr>
        <w:t xml:space="preserve"> solution is then mixed into the wine by pumping-over or dosage in-line</w:t>
      </w:r>
      <w:r w:rsidR="00DC73DB">
        <w:rPr>
          <w:lang w:eastAsia="en-AU" w:bidi="ar-SA"/>
        </w:rPr>
        <w:t xml:space="preserve"> </w:t>
      </w:r>
      <w:r w:rsidR="00090B6B">
        <w:rPr>
          <w:lang w:eastAsia="en-AU" w:bidi="ar-SA"/>
        </w:rPr>
        <w:t>to ensure</w:t>
      </w:r>
      <w:r w:rsidR="00DC73DB">
        <w:rPr>
          <w:lang w:eastAsia="en-AU" w:bidi="ar-SA"/>
        </w:rPr>
        <w:t xml:space="preserve"> uniformly </w:t>
      </w:r>
      <w:r w:rsidR="00406C7E">
        <w:rPr>
          <w:lang w:eastAsia="en-AU" w:bidi="ar-SA"/>
        </w:rPr>
        <w:t>distribut</w:t>
      </w:r>
      <w:r w:rsidR="00090B6B">
        <w:rPr>
          <w:lang w:eastAsia="en-AU" w:bidi="ar-SA"/>
        </w:rPr>
        <w:t>ion</w:t>
      </w:r>
      <w:r w:rsidR="00DC73DB">
        <w:rPr>
          <w:lang w:eastAsia="en-AU" w:bidi="ar-SA"/>
        </w:rPr>
        <w:t xml:space="preserve"> in the wine</w:t>
      </w:r>
      <w:r w:rsidR="00667474">
        <w:rPr>
          <w:rStyle w:val="FootnoteReference"/>
          <w:lang w:eastAsia="en-AU" w:bidi="ar-SA"/>
        </w:rPr>
        <w:footnoteReference w:id="2"/>
      </w:r>
      <w:r w:rsidR="001C5A3F">
        <w:rPr>
          <w:lang w:eastAsia="en-AU" w:bidi="ar-SA"/>
        </w:rPr>
        <w:t xml:space="preserve">. </w:t>
      </w:r>
      <w:r>
        <w:rPr>
          <w:lang w:eastAsia="en-AU" w:bidi="ar-SA"/>
        </w:rPr>
        <w:t>The</w:t>
      </w:r>
      <w:r w:rsidR="001C5A3F">
        <w:rPr>
          <w:lang w:eastAsia="en-AU" w:bidi="ar-SA"/>
        </w:rPr>
        <w:t xml:space="preserve"> </w:t>
      </w:r>
      <w:r w:rsidR="005E64AB">
        <w:rPr>
          <w:lang w:eastAsia="en-AU" w:bidi="ar-SA"/>
        </w:rPr>
        <w:t xml:space="preserve">treated </w:t>
      </w:r>
      <w:r w:rsidR="001C5A3F">
        <w:rPr>
          <w:lang w:eastAsia="en-AU" w:bidi="ar-SA"/>
        </w:rPr>
        <w:t xml:space="preserve">wine can </w:t>
      </w:r>
      <w:r>
        <w:rPr>
          <w:lang w:eastAsia="en-AU" w:bidi="ar-SA"/>
        </w:rPr>
        <w:t>then be filtered, bottled and packaged</w:t>
      </w:r>
      <w:r w:rsidR="001C5A3F">
        <w:rPr>
          <w:lang w:eastAsia="en-AU" w:bidi="ar-SA"/>
        </w:rPr>
        <w:t xml:space="preserve">. </w:t>
      </w:r>
    </w:p>
    <w:p w14:paraId="607BA726" w14:textId="77777777" w:rsidR="001C5A3F" w:rsidRDefault="001C5A3F" w:rsidP="00034DE6">
      <w:pPr>
        <w:rPr>
          <w:lang w:eastAsia="en-AU" w:bidi="ar-SA"/>
        </w:rPr>
      </w:pPr>
    </w:p>
    <w:p w14:paraId="3ACE42E8" w14:textId="3349B8F4" w:rsidR="000C57F6" w:rsidRDefault="00AF3759" w:rsidP="000C57F6">
      <w:pPr>
        <w:rPr>
          <w:lang w:eastAsia="en-AU" w:bidi="ar-SA"/>
        </w:rPr>
      </w:pPr>
      <w:r>
        <w:rPr>
          <w:lang w:eastAsia="en-AU" w:bidi="ar-SA"/>
        </w:rPr>
        <w:t xml:space="preserve">Potassium polyaspartate can stabilise </w:t>
      </w:r>
      <w:r w:rsidR="002B7646">
        <w:rPr>
          <w:lang w:eastAsia="en-AU" w:bidi="ar-SA"/>
        </w:rPr>
        <w:t xml:space="preserve">both </w:t>
      </w:r>
      <w:r>
        <w:rPr>
          <w:lang w:eastAsia="en-AU" w:bidi="ar-SA"/>
        </w:rPr>
        <w:t xml:space="preserve">red and white wines </w:t>
      </w:r>
      <w:r w:rsidR="00F94C92">
        <w:rPr>
          <w:lang w:eastAsia="en-AU" w:bidi="ar-SA"/>
        </w:rPr>
        <w:t>during storage</w:t>
      </w:r>
      <w:r w:rsidR="00F739F8">
        <w:rPr>
          <w:lang w:eastAsia="en-AU" w:bidi="ar-SA"/>
        </w:rPr>
        <w:t>,</w:t>
      </w:r>
      <w:r w:rsidR="00F94C92">
        <w:rPr>
          <w:lang w:eastAsia="en-AU" w:bidi="ar-SA"/>
        </w:rPr>
        <w:t xml:space="preserve"> </w:t>
      </w:r>
      <w:r w:rsidR="00520965">
        <w:rPr>
          <w:lang w:eastAsia="en-AU" w:bidi="ar-SA"/>
        </w:rPr>
        <w:t xml:space="preserve">including </w:t>
      </w:r>
      <w:r w:rsidR="00A806CF">
        <w:rPr>
          <w:lang w:eastAsia="en-AU" w:bidi="ar-SA"/>
        </w:rPr>
        <w:t xml:space="preserve">those </w:t>
      </w:r>
      <w:r>
        <w:rPr>
          <w:lang w:eastAsia="en-AU" w:bidi="ar-SA"/>
        </w:rPr>
        <w:t>with high level</w:t>
      </w:r>
      <w:r w:rsidR="00EB18DB">
        <w:rPr>
          <w:lang w:eastAsia="en-AU" w:bidi="ar-SA"/>
        </w:rPr>
        <w:t>s</w:t>
      </w:r>
      <w:r>
        <w:rPr>
          <w:lang w:eastAsia="en-AU" w:bidi="ar-SA"/>
        </w:rPr>
        <w:t xml:space="preserve"> of tartrate instability</w:t>
      </w:r>
      <w:r w:rsidR="00F94C92">
        <w:rPr>
          <w:lang w:eastAsia="en-AU" w:bidi="ar-SA"/>
        </w:rPr>
        <w:t xml:space="preserve"> (up to 450 </w:t>
      </w:r>
      <w:r w:rsidR="00520965">
        <w:rPr>
          <w:lang w:eastAsia="en-AU" w:bidi="ar-SA"/>
        </w:rPr>
        <w:t>micro siemens</w:t>
      </w:r>
      <w:r w:rsidR="00F94C92">
        <w:rPr>
          <w:lang w:eastAsia="en-AU" w:bidi="ar-SA"/>
        </w:rPr>
        <w:t>/</w:t>
      </w:r>
      <w:r w:rsidR="00520965">
        <w:rPr>
          <w:lang w:eastAsia="en-AU" w:bidi="ar-SA"/>
        </w:rPr>
        <w:t xml:space="preserve">centimetre </w:t>
      </w:r>
      <w:r w:rsidR="002818B9">
        <w:rPr>
          <w:lang w:eastAsia="en-AU" w:bidi="ar-SA"/>
        </w:rPr>
        <w:t>as determined</w:t>
      </w:r>
      <w:r w:rsidR="00520965">
        <w:rPr>
          <w:lang w:eastAsia="en-AU" w:bidi="ar-SA"/>
        </w:rPr>
        <w:t xml:space="preserve"> by a mini-contact test</w:t>
      </w:r>
      <w:r w:rsidR="00520965">
        <w:rPr>
          <w:rStyle w:val="FootnoteReference"/>
          <w:lang w:eastAsia="en-AU" w:bidi="ar-SA"/>
        </w:rPr>
        <w:footnoteReference w:id="3"/>
      </w:r>
      <w:r w:rsidR="00F94C92">
        <w:rPr>
          <w:lang w:eastAsia="en-AU" w:bidi="ar-SA"/>
        </w:rPr>
        <w:t>)</w:t>
      </w:r>
      <w:r>
        <w:rPr>
          <w:lang w:eastAsia="en-AU" w:bidi="ar-SA"/>
        </w:rPr>
        <w:t xml:space="preserve">. </w:t>
      </w:r>
      <w:r w:rsidR="00EB18DB">
        <w:rPr>
          <w:lang w:eastAsia="en-AU" w:bidi="ar-SA"/>
        </w:rPr>
        <w:t>Potassium polyaspartate is chemical</w:t>
      </w:r>
      <w:r w:rsidR="00F94C92">
        <w:rPr>
          <w:lang w:eastAsia="en-AU" w:bidi="ar-SA"/>
        </w:rPr>
        <w:t>ly</w:t>
      </w:r>
      <w:r w:rsidR="00EB18DB">
        <w:rPr>
          <w:lang w:eastAsia="en-AU" w:bidi="ar-SA"/>
        </w:rPr>
        <w:t xml:space="preserve"> stable in wine </w:t>
      </w:r>
      <w:r w:rsidR="00794A8B">
        <w:rPr>
          <w:lang w:eastAsia="en-AU" w:bidi="ar-SA"/>
        </w:rPr>
        <w:t>and stability</w:t>
      </w:r>
      <w:r w:rsidR="00F94C92">
        <w:rPr>
          <w:lang w:eastAsia="en-AU" w:bidi="ar-SA"/>
        </w:rPr>
        <w:t xml:space="preserve"> can be</w:t>
      </w:r>
      <w:r>
        <w:rPr>
          <w:lang w:eastAsia="en-AU" w:bidi="ar-SA"/>
        </w:rPr>
        <w:t xml:space="preserve"> </w:t>
      </w:r>
      <w:r w:rsidR="00F93F7F">
        <w:rPr>
          <w:lang w:eastAsia="en-AU" w:bidi="ar-SA"/>
        </w:rPr>
        <w:t xml:space="preserve">maintained for at least a year </w:t>
      </w:r>
      <w:r w:rsidR="006C391D">
        <w:rPr>
          <w:lang w:eastAsia="en-AU" w:bidi="ar-SA"/>
        </w:rPr>
        <w:t xml:space="preserve">of aging </w:t>
      </w:r>
      <w:r w:rsidR="00F93F7F">
        <w:rPr>
          <w:lang w:eastAsia="en-AU" w:bidi="ar-SA"/>
        </w:rPr>
        <w:t xml:space="preserve">unlike </w:t>
      </w:r>
      <w:r w:rsidR="00090B6B">
        <w:rPr>
          <w:lang w:eastAsia="en-AU" w:bidi="ar-SA"/>
        </w:rPr>
        <w:t>metatartaric</w:t>
      </w:r>
      <w:r w:rsidR="00F93F7F">
        <w:rPr>
          <w:lang w:eastAsia="en-AU" w:bidi="ar-SA"/>
        </w:rPr>
        <w:t xml:space="preserve"> acid.</w:t>
      </w:r>
    </w:p>
    <w:p w14:paraId="3D6E6CD8" w14:textId="6863713E" w:rsidR="00F93F7F" w:rsidRDefault="00F93F7F" w:rsidP="00034DE6">
      <w:pPr>
        <w:rPr>
          <w:lang w:eastAsia="en-AU" w:bidi="ar-SA"/>
        </w:rPr>
      </w:pPr>
    </w:p>
    <w:p w14:paraId="515CBF0A" w14:textId="053974CE" w:rsidR="00F93F7F" w:rsidRDefault="00F93F7F" w:rsidP="00034DE6">
      <w:pPr>
        <w:rPr>
          <w:lang w:eastAsia="en-AU" w:bidi="ar-SA"/>
        </w:rPr>
      </w:pPr>
      <w:r>
        <w:rPr>
          <w:lang w:eastAsia="en-AU" w:bidi="ar-SA"/>
        </w:rPr>
        <w:t xml:space="preserve">For red </w:t>
      </w:r>
      <w:r w:rsidR="00236554">
        <w:rPr>
          <w:lang w:eastAsia="en-AU" w:bidi="ar-SA"/>
        </w:rPr>
        <w:t xml:space="preserve">and white </w:t>
      </w:r>
      <w:r>
        <w:rPr>
          <w:lang w:eastAsia="en-AU" w:bidi="ar-SA"/>
        </w:rPr>
        <w:t>wines</w:t>
      </w:r>
      <w:r w:rsidR="00401B52">
        <w:rPr>
          <w:lang w:eastAsia="en-AU" w:bidi="ar-SA"/>
        </w:rPr>
        <w:t>,</w:t>
      </w:r>
      <w:r>
        <w:rPr>
          <w:lang w:eastAsia="en-AU" w:bidi="ar-SA"/>
        </w:rPr>
        <w:t xml:space="preserve"> colour stability </w:t>
      </w:r>
      <w:r w:rsidR="00794A8B">
        <w:rPr>
          <w:lang w:eastAsia="en-AU" w:bidi="ar-SA"/>
        </w:rPr>
        <w:t>is</w:t>
      </w:r>
      <w:r>
        <w:rPr>
          <w:lang w:eastAsia="en-AU" w:bidi="ar-SA"/>
        </w:rPr>
        <w:t xml:space="preserve"> maintained during storage. </w:t>
      </w:r>
      <w:r w:rsidR="00236554">
        <w:rPr>
          <w:lang w:eastAsia="en-AU" w:bidi="ar-SA"/>
        </w:rPr>
        <w:t>In red wine, t</w:t>
      </w:r>
      <w:r>
        <w:rPr>
          <w:lang w:eastAsia="en-AU" w:bidi="ar-SA"/>
        </w:rPr>
        <w:t xml:space="preserve">here </w:t>
      </w:r>
      <w:r w:rsidR="008A082A">
        <w:rPr>
          <w:lang w:eastAsia="en-AU" w:bidi="ar-SA"/>
        </w:rPr>
        <w:t>are</w:t>
      </w:r>
      <w:r>
        <w:rPr>
          <w:lang w:eastAsia="en-AU" w:bidi="ar-SA"/>
        </w:rPr>
        <w:t xml:space="preserve"> some instances of </w:t>
      </w:r>
      <w:r w:rsidR="00401B52">
        <w:rPr>
          <w:lang w:eastAsia="en-AU" w:bidi="ar-SA"/>
        </w:rPr>
        <w:t xml:space="preserve">increased </w:t>
      </w:r>
      <w:r>
        <w:rPr>
          <w:lang w:eastAsia="en-AU" w:bidi="ar-SA"/>
        </w:rPr>
        <w:t>t</w:t>
      </w:r>
      <w:r w:rsidR="006C391D">
        <w:rPr>
          <w:lang w:eastAsia="en-AU" w:bidi="ar-SA"/>
        </w:rPr>
        <w:t xml:space="preserve">urbidity </w:t>
      </w:r>
      <w:r w:rsidR="00836A0B">
        <w:rPr>
          <w:lang w:eastAsia="en-AU" w:bidi="ar-SA"/>
        </w:rPr>
        <w:t xml:space="preserve">soon </w:t>
      </w:r>
      <w:r w:rsidR="006C391D">
        <w:rPr>
          <w:lang w:eastAsia="en-AU" w:bidi="ar-SA"/>
        </w:rPr>
        <w:t>after addition</w:t>
      </w:r>
      <w:r w:rsidR="00401B52">
        <w:rPr>
          <w:lang w:eastAsia="en-AU" w:bidi="ar-SA"/>
        </w:rPr>
        <w:t xml:space="preserve"> due to </w:t>
      </w:r>
      <w:r w:rsidR="00BB5227">
        <w:rPr>
          <w:lang w:eastAsia="en-AU" w:bidi="ar-SA"/>
        </w:rPr>
        <w:t>interaction</w:t>
      </w:r>
      <w:r w:rsidR="00401B52">
        <w:rPr>
          <w:lang w:eastAsia="en-AU" w:bidi="ar-SA"/>
        </w:rPr>
        <w:t>s</w:t>
      </w:r>
      <w:r w:rsidR="00BB5227">
        <w:rPr>
          <w:lang w:eastAsia="en-AU" w:bidi="ar-SA"/>
        </w:rPr>
        <w:t xml:space="preserve"> with proteins and polyphenols. </w:t>
      </w:r>
      <w:r w:rsidR="00EA776F">
        <w:rPr>
          <w:lang w:eastAsia="en-AU" w:bidi="ar-SA"/>
        </w:rPr>
        <w:t>In these situations, i</w:t>
      </w:r>
      <w:r w:rsidR="00EB18DB">
        <w:rPr>
          <w:lang w:eastAsia="en-AU" w:bidi="ar-SA"/>
        </w:rPr>
        <w:t xml:space="preserve">t is recommended </w:t>
      </w:r>
      <w:r w:rsidR="00EA776F">
        <w:rPr>
          <w:lang w:eastAsia="en-AU" w:bidi="ar-SA"/>
        </w:rPr>
        <w:t>that</w:t>
      </w:r>
      <w:r w:rsidR="00EB18DB">
        <w:rPr>
          <w:lang w:eastAsia="en-AU" w:bidi="ar-SA"/>
        </w:rPr>
        <w:t xml:space="preserve"> bentonite </w:t>
      </w:r>
      <w:r w:rsidR="000D5738">
        <w:rPr>
          <w:lang w:eastAsia="en-AU" w:bidi="ar-SA"/>
        </w:rPr>
        <w:t xml:space="preserve">is used </w:t>
      </w:r>
      <w:r w:rsidR="00401B52">
        <w:rPr>
          <w:lang w:eastAsia="en-AU" w:bidi="ar-SA"/>
        </w:rPr>
        <w:t xml:space="preserve">for clarification </w:t>
      </w:r>
      <w:r w:rsidR="000D5738">
        <w:rPr>
          <w:lang w:eastAsia="en-AU" w:bidi="ar-SA"/>
        </w:rPr>
        <w:t>and the wine is filtered</w:t>
      </w:r>
      <w:r w:rsidR="00EA776F">
        <w:rPr>
          <w:lang w:eastAsia="en-AU" w:bidi="ar-SA"/>
        </w:rPr>
        <w:t xml:space="preserve"> </w:t>
      </w:r>
      <w:r w:rsidR="00EB18DB">
        <w:rPr>
          <w:lang w:eastAsia="en-AU" w:bidi="ar-SA"/>
        </w:rPr>
        <w:t>before bottling.</w:t>
      </w:r>
      <w:r w:rsidR="00F5549B">
        <w:rPr>
          <w:lang w:eastAsia="en-AU" w:bidi="ar-SA"/>
        </w:rPr>
        <w:t xml:space="preserve"> </w:t>
      </w:r>
      <w:r w:rsidR="00955C5E">
        <w:rPr>
          <w:lang w:eastAsia="en-AU" w:bidi="ar-SA"/>
        </w:rPr>
        <w:t xml:space="preserve">OIV </w:t>
      </w:r>
      <w:r w:rsidR="00F5549B">
        <w:rPr>
          <w:lang w:eastAsia="en-AU" w:bidi="ar-SA"/>
        </w:rPr>
        <w:t xml:space="preserve">also recommends this </w:t>
      </w:r>
      <w:r w:rsidR="00320E84">
        <w:rPr>
          <w:lang w:eastAsia="en-AU" w:bidi="ar-SA"/>
        </w:rPr>
        <w:t xml:space="preserve">treatment </w:t>
      </w:r>
      <w:r w:rsidR="00F5549B">
        <w:rPr>
          <w:lang w:eastAsia="en-AU" w:bidi="ar-SA"/>
        </w:rPr>
        <w:t>for red wines with high colloidal instability</w:t>
      </w:r>
      <w:r w:rsidR="00955C5E">
        <w:rPr>
          <w:lang w:eastAsia="en-AU" w:bidi="ar-SA"/>
        </w:rPr>
        <w:t xml:space="preserve"> (OIV, 2017b)</w:t>
      </w:r>
      <w:r w:rsidR="00F5549B">
        <w:rPr>
          <w:lang w:eastAsia="en-AU" w:bidi="ar-SA"/>
        </w:rPr>
        <w:t xml:space="preserve">. </w:t>
      </w:r>
    </w:p>
    <w:p w14:paraId="59F3251C" w14:textId="77777777" w:rsidR="00F93F7F" w:rsidRDefault="00F93F7F" w:rsidP="00034DE6">
      <w:pPr>
        <w:rPr>
          <w:lang w:eastAsia="en-AU" w:bidi="ar-SA"/>
        </w:rPr>
      </w:pPr>
    </w:p>
    <w:p w14:paraId="0DA59D5B" w14:textId="2DED03DD" w:rsidR="00AA5316" w:rsidRDefault="00D96DBC" w:rsidP="006662BA">
      <w:pPr>
        <w:pStyle w:val="Heading2"/>
      </w:pPr>
      <w:bookmarkStart w:id="38" w:name="_Toc521330342"/>
      <w:bookmarkStart w:id="39" w:name="_Toc522276764"/>
      <w:bookmarkStart w:id="40" w:name="_Toc522780491"/>
      <w:bookmarkStart w:id="41" w:name="_Toc524342532"/>
      <w:r>
        <w:t>2.</w:t>
      </w:r>
      <w:r w:rsidR="00F861F2">
        <w:t>5</w:t>
      </w:r>
      <w:r w:rsidR="00AA5316">
        <w:t xml:space="preserve"> The </w:t>
      </w:r>
      <w:r>
        <w:t>manufacturing process</w:t>
      </w:r>
      <w:bookmarkEnd w:id="38"/>
      <w:bookmarkEnd w:id="39"/>
      <w:bookmarkEnd w:id="40"/>
      <w:bookmarkEnd w:id="41"/>
      <w:r>
        <w:t xml:space="preserve"> </w:t>
      </w:r>
    </w:p>
    <w:p w14:paraId="6DAC853B" w14:textId="5645A3CA" w:rsidR="000B1AA5" w:rsidRDefault="000B1AA5" w:rsidP="00034DE6">
      <w:pPr>
        <w:rPr>
          <w:lang w:eastAsia="en-AU" w:bidi="ar-SA"/>
        </w:rPr>
      </w:pPr>
      <w:r>
        <w:rPr>
          <w:lang w:eastAsia="en-AU" w:bidi="ar-SA"/>
        </w:rPr>
        <w:t xml:space="preserve">Potassium polyaspartate is produced from </w:t>
      </w:r>
      <w:r w:rsidR="005F0E7F">
        <w:rPr>
          <w:lang w:eastAsia="en-AU" w:bidi="ar-SA"/>
        </w:rPr>
        <w:t xml:space="preserve">two starting materials, </w:t>
      </w:r>
      <w:r>
        <w:rPr>
          <w:lang w:eastAsia="en-AU" w:bidi="ar-SA"/>
        </w:rPr>
        <w:t>L-aspartic acid</w:t>
      </w:r>
      <w:r w:rsidR="005F0E7F">
        <w:rPr>
          <w:lang w:eastAsia="en-AU" w:bidi="ar-SA"/>
        </w:rPr>
        <w:t xml:space="preserve"> and potassium hydroxide</w:t>
      </w:r>
      <w:r>
        <w:rPr>
          <w:lang w:eastAsia="en-AU" w:bidi="ar-SA"/>
        </w:rPr>
        <w:t>. L-aspartic acid is heated at 270-274</w:t>
      </w:r>
      <w:r w:rsidR="00042F05">
        <w:rPr>
          <w:rFonts w:cs="Arial"/>
          <w:lang w:eastAsia="en-AU" w:bidi="ar-SA"/>
        </w:rPr>
        <w:t>°</w:t>
      </w:r>
      <w:r>
        <w:rPr>
          <w:lang w:eastAsia="en-AU" w:bidi="ar-SA"/>
        </w:rPr>
        <w:t xml:space="preserve">C for up to </w:t>
      </w:r>
      <w:r w:rsidR="00022A71">
        <w:rPr>
          <w:lang w:eastAsia="en-AU" w:bidi="ar-SA"/>
        </w:rPr>
        <w:t>90 minutes</w:t>
      </w:r>
      <w:r>
        <w:rPr>
          <w:lang w:eastAsia="en-AU" w:bidi="ar-SA"/>
        </w:rPr>
        <w:t xml:space="preserve">. Water is added and insoluble polysuccinimide is formed. </w:t>
      </w:r>
    </w:p>
    <w:p w14:paraId="3DF81D56" w14:textId="77777777" w:rsidR="000B1AA5" w:rsidRDefault="000B1AA5" w:rsidP="00034DE6">
      <w:pPr>
        <w:rPr>
          <w:lang w:eastAsia="en-AU" w:bidi="ar-SA"/>
        </w:rPr>
      </w:pPr>
    </w:p>
    <w:p w14:paraId="36B78F0B" w14:textId="14C3FE1B" w:rsidR="000B1AA5" w:rsidRDefault="000B1AA5" w:rsidP="00034DE6">
      <w:pPr>
        <w:rPr>
          <w:lang w:eastAsia="en-AU" w:bidi="ar-SA"/>
        </w:rPr>
      </w:pPr>
      <w:r>
        <w:rPr>
          <w:lang w:eastAsia="en-AU" w:bidi="ar-SA"/>
        </w:rPr>
        <w:t>Polysuccinimide is treated with potassium hydroxide under controlled conditions, allowing</w:t>
      </w:r>
    </w:p>
    <w:p w14:paraId="1B99F2F5" w14:textId="053C4C2B" w:rsidR="000B1AA5" w:rsidRDefault="00042F05" w:rsidP="000B1AA5">
      <w:r>
        <w:t>f</w:t>
      </w:r>
      <w:r w:rsidR="00EA776F">
        <w:t xml:space="preserve">or </w:t>
      </w:r>
      <w:r w:rsidR="000B1AA5">
        <w:t>opening of the ring structure and polymerisation of the units. Throughout this process a 40% solution of potassium polyaspartate at pH</w:t>
      </w:r>
      <w:r w:rsidR="005F0E7F">
        <w:t xml:space="preserve"> </w:t>
      </w:r>
      <w:r w:rsidR="000B1AA5">
        <w:t>8.3 is obtained. Spray drying is t</w:t>
      </w:r>
      <w:r w:rsidR="005F0E7F">
        <w:t>hen used t</w:t>
      </w:r>
      <w:r w:rsidR="000B1AA5">
        <w:t xml:space="preserve">o produce a light tan powder with 92-95% dry matter. </w:t>
      </w:r>
    </w:p>
    <w:p w14:paraId="6B155D52" w14:textId="148C990B" w:rsidR="00D96DBC" w:rsidRDefault="004B6E3F" w:rsidP="00F230A5">
      <w:pPr>
        <w:pStyle w:val="Heading2"/>
      </w:pPr>
      <w:bookmarkStart w:id="42" w:name="_Toc521330343"/>
      <w:bookmarkStart w:id="43" w:name="_Toc521330344"/>
      <w:bookmarkStart w:id="44" w:name="_Toc522276765"/>
      <w:bookmarkStart w:id="45" w:name="_Toc522780492"/>
      <w:bookmarkStart w:id="46" w:name="_Toc524342533"/>
      <w:bookmarkEnd w:id="42"/>
      <w:r>
        <w:t>2.</w:t>
      </w:r>
      <w:r w:rsidR="00F861F2">
        <w:t>6</w:t>
      </w:r>
      <w:r>
        <w:t xml:space="preserve"> </w:t>
      </w:r>
      <w:r w:rsidR="00D96DBC">
        <w:t>Product specification</w:t>
      </w:r>
      <w:bookmarkEnd w:id="43"/>
      <w:bookmarkEnd w:id="44"/>
      <w:bookmarkEnd w:id="45"/>
      <w:r w:rsidR="00082D2A">
        <w:t>s</w:t>
      </w:r>
      <w:bookmarkEnd w:id="46"/>
    </w:p>
    <w:p w14:paraId="1BC6FEF1" w14:textId="088ECE01" w:rsidR="00E10CC9" w:rsidRDefault="00F1173F" w:rsidP="00E10CC9">
      <w:pPr>
        <w:rPr>
          <w:lang w:eastAsia="en-AU" w:bidi="ar-SA"/>
        </w:rPr>
      </w:pPr>
      <w:r>
        <w:rPr>
          <w:lang w:eastAsia="en-AU" w:bidi="ar-SA"/>
        </w:rPr>
        <w:t xml:space="preserve">Potassium polyaspartate </w:t>
      </w:r>
      <w:r w:rsidR="00B7189D">
        <w:rPr>
          <w:lang w:eastAsia="en-AU" w:bidi="ar-SA"/>
        </w:rPr>
        <w:t>has</w:t>
      </w:r>
      <w:r>
        <w:rPr>
          <w:lang w:eastAsia="en-AU" w:bidi="ar-SA"/>
        </w:rPr>
        <w:t xml:space="preserve"> a</w:t>
      </w:r>
      <w:r w:rsidR="00082D2A">
        <w:rPr>
          <w:lang w:eastAsia="en-AU" w:bidi="ar-SA"/>
        </w:rPr>
        <w:t>n accepted</w:t>
      </w:r>
      <w:r>
        <w:rPr>
          <w:lang w:eastAsia="en-AU" w:bidi="ar-SA"/>
        </w:rPr>
        <w:t xml:space="preserve"> spec</w:t>
      </w:r>
      <w:r w:rsidR="00870871">
        <w:rPr>
          <w:lang w:eastAsia="en-AU" w:bidi="ar-SA"/>
        </w:rPr>
        <w:t xml:space="preserve">ification in a secondary source, </w:t>
      </w:r>
      <w:r w:rsidR="003F3287">
        <w:rPr>
          <w:lang w:eastAsia="en-AU" w:bidi="ar-SA"/>
        </w:rPr>
        <w:t>s</w:t>
      </w:r>
      <w:r w:rsidR="00F46A22">
        <w:rPr>
          <w:lang w:eastAsia="en-AU" w:bidi="ar-SA"/>
        </w:rPr>
        <w:t>ection S3-3</w:t>
      </w:r>
      <w:r w:rsidR="00870871">
        <w:rPr>
          <w:lang w:eastAsia="en-AU" w:bidi="ar-SA"/>
        </w:rPr>
        <w:t>(j)</w:t>
      </w:r>
      <w:r w:rsidR="00F46A22">
        <w:rPr>
          <w:lang w:eastAsia="en-AU" w:bidi="ar-SA"/>
        </w:rPr>
        <w:t xml:space="preserve"> in </w:t>
      </w:r>
      <w:r w:rsidR="003F3287">
        <w:rPr>
          <w:lang w:eastAsia="en-AU" w:bidi="ar-SA"/>
        </w:rPr>
        <w:t>the Code</w:t>
      </w:r>
      <w:r w:rsidR="00F25783">
        <w:rPr>
          <w:lang w:eastAsia="en-AU" w:bidi="ar-SA"/>
        </w:rPr>
        <w:t>.</w:t>
      </w:r>
      <w:r w:rsidR="00770E48">
        <w:rPr>
          <w:lang w:eastAsia="en-AU" w:bidi="ar-SA"/>
        </w:rPr>
        <w:t xml:space="preserve"> </w:t>
      </w:r>
      <w:r w:rsidR="00F5549B">
        <w:rPr>
          <w:lang w:eastAsia="en-AU" w:bidi="ar-SA"/>
        </w:rPr>
        <w:t xml:space="preserve">The relevant specification is </w:t>
      </w:r>
      <w:r w:rsidR="00A244F7">
        <w:rPr>
          <w:lang w:eastAsia="en-AU" w:bidi="ar-SA"/>
        </w:rPr>
        <w:t xml:space="preserve">the OIV </w:t>
      </w:r>
      <w:r w:rsidR="00B7189D">
        <w:rPr>
          <w:lang w:eastAsia="en-AU" w:bidi="ar-SA"/>
        </w:rPr>
        <w:t xml:space="preserve">resolution OIV-OENO 572-2017 </w:t>
      </w:r>
      <w:r w:rsidR="00870871">
        <w:rPr>
          <w:lang w:eastAsia="en-AU" w:bidi="ar-SA"/>
        </w:rPr>
        <w:t>Monograph on potassium polyaspartate</w:t>
      </w:r>
      <w:r w:rsidR="008E34D9">
        <w:rPr>
          <w:lang w:eastAsia="en-AU" w:bidi="ar-SA"/>
        </w:rPr>
        <w:t xml:space="preserve"> </w:t>
      </w:r>
      <w:r w:rsidR="00B7189D">
        <w:rPr>
          <w:lang w:eastAsia="en-AU" w:bidi="ar-SA"/>
        </w:rPr>
        <w:t xml:space="preserve">(OIV, 2017a). </w:t>
      </w:r>
    </w:p>
    <w:p w14:paraId="7AF9BA61" w14:textId="77777777" w:rsidR="00DF6738" w:rsidRDefault="00DF6738" w:rsidP="009B7E30">
      <w:pPr>
        <w:rPr>
          <w:lang w:eastAsia="en-AU" w:bidi="ar-SA"/>
        </w:rPr>
      </w:pPr>
    </w:p>
    <w:p w14:paraId="06573633" w14:textId="427153C8" w:rsidR="009B7E30" w:rsidRDefault="00FE0906" w:rsidP="009B7E30">
      <w:pPr>
        <w:rPr>
          <w:lang w:eastAsia="en-AU" w:bidi="ar-SA"/>
        </w:rPr>
      </w:pPr>
      <w:r>
        <w:rPr>
          <w:lang w:eastAsia="en-AU" w:bidi="ar-SA"/>
        </w:rPr>
        <w:t>The</w:t>
      </w:r>
      <w:r w:rsidR="00E55CC1">
        <w:rPr>
          <w:lang w:eastAsia="en-AU" w:bidi="ar-SA"/>
        </w:rPr>
        <w:t xml:space="preserve"> application contains analytical results for </w:t>
      </w:r>
      <w:r w:rsidR="00155684">
        <w:rPr>
          <w:lang w:eastAsia="en-AU" w:bidi="ar-SA"/>
        </w:rPr>
        <w:t xml:space="preserve">a batch sample of </w:t>
      </w:r>
      <w:r w:rsidR="00E55CC1">
        <w:rPr>
          <w:lang w:eastAsia="en-AU" w:bidi="ar-SA"/>
        </w:rPr>
        <w:t xml:space="preserve">potassium polyaspartate. These results are </w:t>
      </w:r>
      <w:r w:rsidR="00D0152D">
        <w:rPr>
          <w:lang w:eastAsia="en-AU" w:bidi="ar-SA"/>
        </w:rPr>
        <w:t xml:space="preserve">shown in Table 1 and </w:t>
      </w:r>
      <w:r w:rsidR="00E55CC1">
        <w:rPr>
          <w:lang w:eastAsia="en-AU" w:bidi="ar-SA"/>
        </w:rPr>
        <w:t xml:space="preserve">consistent with </w:t>
      </w:r>
      <w:r w:rsidR="00A244F7">
        <w:rPr>
          <w:lang w:eastAsia="en-AU" w:bidi="ar-SA"/>
        </w:rPr>
        <w:t xml:space="preserve">OIV </w:t>
      </w:r>
      <w:r w:rsidR="00032747">
        <w:rPr>
          <w:lang w:eastAsia="en-AU" w:bidi="ar-SA"/>
        </w:rPr>
        <w:t xml:space="preserve">resolution OIV-OENO 572-2017 </w:t>
      </w:r>
      <w:r w:rsidR="00870871">
        <w:rPr>
          <w:lang w:eastAsia="en-AU" w:bidi="ar-SA"/>
        </w:rPr>
        <w:t xml:space="preserve">Monograph on potassium polyaspartate </w:t>
      </w:r>
      <w:r>
        <w:rPr>
          <w:lang w:eastAsia="en-AU" w:bidi="ar-SA"/>
        </w:rPr>
        <w:t>(OIV, 2017a).</w:t>
      </w:r>
    </w:p>
    <w:p w14:paraId="74A5D1D4" w14:textId="18F572A4" w:rsidR="00800E58" w:rsidRPr="006662BA" w:rsidRDefault="00800E58" w:rsidP="00E10CC9">
      <w:pPr>
        <w:rPr>
          <w:i/>
          <w:lang w:eastAsia="en-AU" w:bidi="ar-SA"/>
        </w:rPr>
      </w:pPr>
    </w:p>
    <w:p w14:paraId="6EBB4AA9" w14:textId="5A66F8C0" w:rsidR="00800E58" w:rsidRPr="00325B10" w:rsidRDefault="00431D19" w:rsidP="00325B10">
      <w:pPr>
        <w:pStyle w:val="FSTableFigureHeading"/>
      </w:pPr>
      <w:r w:rsidRPr="00325B10">
        <w:t xml:space="preserve">Table </w:t>
      </w:r>
      <w:fldSimple w:instr=" SEQ Table \* ARABIC ">
        <w:r w:rsidR="00BB3A80">
          <w:rPr>
            <w:noProof/>
          </w:rPr>
          <w:t>1</w:t>
        </w:r>
      </w:fldSimple>
      <w:r w:rsidR="00DF718F" w:rsidRPr="00325B10">
        <w:tab/>
      </w:r>
      <w:r w:rsidR="00800E58" w:rsidRPr="00325B10">
        <w:rPr>
          <w:b w:val="0"/>
        </w:rPr>
        <w:t xml:space="preserve">Comparative potassium polyaspartate </w:t>
      </w:r>
      <w:r w:rsidR="00DA270B" w:rsidRPr="00325B10">
        <w:rPr>
          <w:b w:val="0"/>
        </w:rPr>
        <w:t xml:space="preserve">product </w:t>
      </w:r>
      <w:r w:rsidR="00800E58" w:rsidRPr="00325B10">
        <w:rPr>
          <w:b w:val="0"/>
        </w:rPr>
        <w:t>specifications</w:t>
      </w:r>
    </w:p>
    <w:p w14:paraId="4172E380" w14:textId="26802F2D" w:rsidR="00800E58" w:rsidRDefault="00800E58" w:rsidP="00800E58">
      <w:pPr>
        <w:rPr>
          <w:lang w:eastAsia="en-AU" w:bidi="ar-SA"/>
        </w:rPr>
      </w:pPr>
    </w:p>
    <w:tbl>
      <w:tblPr>
        <w:tblStyle w:val="TableGrid"/>
        <w:tblW w:w="0" w:type="auto"/>
        <w:tblLook w:val="04A0" w:firstRow="1" w:lastRow="0" w:firstColumn="1" w:lastColumn="0" w:noHBand="0" w:noVBand="1"/>
        <w:tblCaption w:val="Comparative potassium polyaspartate product specifications"/>
        <w:tblDescription w:val="Table 1 contains the product specification listed in OIV's monograph for potassium polyaspartate - which is an accepted specification in the Code.  The results for a batch sample provided by the applicant are consistent with the accepted specification. "/>
      </w:tblPr>
      <w:tblGrid>
        <w:gridCol w:w="2528"/>
        <w:gridCol w:w="2854"/>
        <w:gridCol w:w="2693"/>
      </w:tblGrid>
      <w:tr w:rsidR="00032747" w14:paraId="06DA0161" w14:textId="77777777" w:rsidTr="000B75ED">
        <w:trPr>
          <w:trHeight w:val="438"/>
          <w:tblHeader/>
        </w:trPr>
        <w:tc>
          <w:tcPr>
            <w:tcW w:w="2528" w:type="dxa"/>
          </w:tcPr>
          <w:p w14:paraId="3BDA3B40" w14:textId="28EAEF96" w:rsidR="00032747" w:rsidRDefault="00DA270B" w:rsidP="00800E58">
            <w:pPr>
              <w:pStyle w:val="FSTableTitle"/>
              <w:rPr>
                <w:lang w:eastAsia="en-AU" w:bidi="ar-SA"/>
              </w:rPr>
            </w:pPr>
            <w:r>
              <w:rPr>
                <w:lang w:eastAsia="en-AU" w:bidi="ar-SA"/>
              </w:rPr>
              <w:t>Analysis</w:t>
            </w:r>
          </w:p>
        </w:tc>
        <w:tc>
          <w:tcPr>
            <w:tcW w:w="2854" w:type="dxa"/>
          </w:tcPr>
          <w:p w14:paraId="7434095A" w14:textId="5B2AEFA6" w:rsidR="00032747" w:rsidRDefault="00DA270B" w:rsidP="00AE3507">
            <w:pPr>
              <w:pStyle w:val="FSTableTitle"/>
              <w:rPr>
                <w:lang w:eastAsia="en-AU" w:bidi="ar-SA"/>
              </w:rPr>
            </w:pPr>
            <w:r>
              <w:rPr>
                <w:lang w:eastAsia="en-AU" w:bidi="ar-SA"/>
              </w:rPr>
              <w:t xml:space="preserve">Monograph </w:t>
            </w:r>
            <w:r w:rsidR="00AE3507">
              <w:rPr>
                <w:lang w:eastAsia="en-AU" w:bidi="ar-SA"/>
              </w:rPr>
              <w:t xml:space="preserve">for </w:t>
            </w:r>
            <w:r>
              <w:rPr>
                <w:lang w:eastAsia="en-AU" w:bidi="ar-SA"/>
              </w:rPr>
              <w:t>potassium polyaspartate</w:t>
            </w:r>
            <w:r w:rsidR="00C34C4B">
              <w:rPr>
                <w:lang w:eastAsia="en-AU" w:bidi="ar-SA"/>
              </w:rPr>
              <w:t xml:space="preserve"> (OIV, 2017a</w:t>
            </w:r>
            <w:r w:rsidR="00AE3507">
              <w:rPr>
                <w:lang w:eastAsia="en-AU" w:bidi="ar-SA"/>
              </w:rPr>
              <w:t>)</w:t>
            </w:r>
          </w:p>
          <w:p w14:paraId="3E1FD347" w14:textId="288AAAB9" w:rsidR="00DA270B" w:rsidRPr="00DA270B" w:rsidRDefault="00DA270B" w:rsidP="00DA270B">
            <w:pPr>
              <w:rPr>
                <w:lang w:eastAsia="en-AU" w:bidi="ar-SA"/>
              </w:rPr>
            </w:pPr>
          </w:p>
        </w:tc>
        <w:tc>
          <w:tcPr>
            <w:tcW w:w="2693" w:type="dxa"/>
          </w:tcPr>
          <w:p w14:paraId="206CBEA2" w14:textId="0F7C2D6C" w:rsidR="00032747" w:rsidRDefault="00032747" w:rsidP="00800E58">
            <w:pPr>
              <w:pStyle w:val="FSTableTitle"/>
              <w:jc w:val="center"/>
              <w:rPr>
                <w:lang w:eastAsia="en-AU" w:bidi="ar-SA"/>
              </w:rPr>
            </w:pPr>
            <w:r>
              <w:rPr>
                <w:lang w:eastAsia="en-AU" w:bidi="ar-SA"/>
              </w:rPr>
              <w:t>Batch sample</w:t>
            </w:r>
          </w:p>
        </w:tc>
      </w:tr>
      <w:tr w:rsidR="00032747" w14:paraId="3E62055A" w14:textId="77777777" w:rsidTr="00AE3507">
        <w:tc>
          <w:tcPr>
            <w:tcW w:w="2528" w:type="dxa"/>
          </w:tcPr>
          <w:p w14:paraId="7473A660" w14:textId="00899E38" w:rsidR="00032747" w:rsidRDefault="00032747" w:rsidP="00826D05">
            <w:pPr>
              <w:pStyle w:val="FSTableText"/>
              <w:rPr>
                <w:lang w:eastAsia="en-AU" w:bidi="ar-SA"/>
              </w:rPr>
            </w:pPr>
            <w:r>
              <w:rPr>
                <w:lang w:eastAsia="en-AU" w:bidi="ar-SA"/>
              </w:rPr>
              <w:t>Appearance/description</w:t>
            </w:r>
          </w:p>
        </w:tc>
        <w:tc>
          <w:tcPr>
            <w:tcW w:w="2854" w:type="dxa"/>
          </w:tcPr>
          <w:p w14:paraId="13C29D4D" w14:textId="4241DEB7" w:rsidR="00032747" w:rsidRDefault="00032747" w:rsidP="00826D05">
            <w:pPr>
              <w:pStyle w:val="FSTableText"/>
              <w:rPr>
                <w:lang w:eastAsia="en-AU" w:bidi="ar-SA"/>
              </w:rPr>
            </w:pPr>
            <w:r>
              <w:rPr>
                <w:lang w:eastAsia="en-AU" w:bidi="ar-SA"/>
              </w:rPr>
              <w:t>Light-brown odourless powder</w:t>
            </w:r>
          </w:p>
        </w:tc>
        <w:tc>
          <w:tcPr>
            <w:tcW w:w="2693" w:type="dxa"/>
          </w:tcPr>
          <w:p w14:paraId="5FBF0650" w14:textId="66B75438" w:rsidR="00032747" w:rsidRDefault="00032747" w:rsidP="00826D05">
            <w:pPr>
              <w:pStyle w:val="FSTableText"/>
              <w:rPr>
                <w:lang w:eastAsia="en-AU" w:bidi="ar-SA"/>
              </w:rPr>
            </w:pPr>
            <w:r>
              <w:rPr>
                <w:lang w:eastAsia="en-AU" w:bidi="ar-SA"/>
              </w:rPr>
              <w:t>Light brown odourless powder</w:t>
            </w:r>
          </w:p>
        </w:tc>
      </w:tr>
      <w:tr w:rsidR="00032747" w14:paraId="024D87BC" w14:textId="77777777" w:rsidTr="00AE3507">
        <w:tc>
          <w:tcPr>
            <w:tcW w:w="2528" w:type="dxa"/>
          </w:tcPr>
          <w:p w14:paraId="436CA448" w14:textId="1EB5CCB1" w:rsidR="00032747" w:rsidRDefault="00032747" w:rsidP="00826D05">
            <w:pPr>
              <w:pStyle w:val="FSTableText"/>
              <w:rPr>
                <w:lang w:eastAsia="en-AU" w:bidi="ar-SA"/>
              </w:rPr>
            </w:pPr>
            <w:r>
              <w:rPr>
                <w:lang w:eastAsia="en-AU" w:bidi="ar-SA"/>
              </w:rPr>
              <w:t>Average degree of polymerisation</w:t>
            </w:r>
          </w:p>
        </w:tc>
        <w:tc>
          <w:tcPr>
            <w:tcW w:w="2854" w:type="dxa"/>
          </w:tcPr>
          <w:p w14:paraId="39E74841" w14:textId="1021C911" w:rsidR="00032747" w:rsidRDefault="00032747" w:rsidP="00826D05">
            <w:pPr>
              <w:pStyle w:val="FSTableText"/>
              <w:rPr>
                <w:lang w:eastAsia="en-AU" w:bidi="ar-SA"/>
              </w:rPr>
            </w:pPr>
            <w:r>
              <w:rPr>
                <w:lang w:eastAsia="en-AU" w:bidi="ar-SA"/>
              </w:rPr>
              <w:t>30</w:t>
            </w:r>
          </w:p>
        </w:tc>
        <w:tc>
          <w:tcPr>
            <w:tcW w:w="2693" w:type="dxa"/>
          </w:tcPr>
          <w:p w14:paraId="3CA7895D" w14:textId="380B066A" w:rsidR="00032747" w:rsidRDefault="00032747" w:rsidP="00826D05">
            <w:pPr>
              <w:pStyle w:val="FSTableText"/>
              <w:rPr>
                <w:lang w:eastAsia="en-AU" w:bidi="ar-SA"/>
              </w:rPr>
            </w:pPr>
            <w:r>
              <w:rPr>
                <w:lang w:eastAsia="en-AU" w:bidi="ar-SA"/>
              </w:rPr>
              <w:t>34.2</w:t>
            </w:r>
          </w:p>
        </w:tc>
      </w:tr>
      <w:tr w:rsidR="00032747" w14:paraId="2CB6F468" w14:textId="77777777" w:rsidTr="00AE3507">
        <w:tc>
          <w:tcPr>
            <w:tcW w:w="2528" w:type="dxa"/>
          </w:tcPr>
          <w:p w14:paraId="38F5593C" w14:textId="1FAFB028" w:rsidR="00032747" w:rsidRDefault="00032747" w:rsidP="00826D05">
            <w:pPr>
              <w:pStyle w:val="FSTableText"/>
              <w:rPr>
                <w:lang w:eastAsia="en-AU" w:bidi="ar-SA"/>
              </w:rPr>
            </w:pPr>
            <w:r>
              <w:rPr>
                <w:lang w:eastAsia="en-AU" w:bidi="ar-SA"/>
              </w:rPr>
              <w:t>Solubility in water g/L</w:t>
            </w:r>
          </w:p>
        </w:tc>
        <w:tc>
          <w:tcPr>
            <w:tcW w:w="2854" w:type="dxa"/>
          </w:tcPr>
          <w:p w14:paraId="376D158F" w14:textId="5D6440F8" w:rsidR="00032747" w:rsidRDefault="00032747" w:rsidP="00826D05">
            <w:pPr>
              <w:pStyle w:val="FSTableText"/>
              <w:rPr>
                <w:lang w:eastAsia="en-AU" w:bidi="ar-SA"/>
              </w:rPr>
            </w:pPr>
            <w:r>
              <w:rPr>
                <w:lang w:eastAsia="en-AU" w:bidi="ar-SA"/>
              </w:rPr>
              <w:t>&gt;1000</w:t>
            </w:r>
          </w:p>
        </w:tc>
        <w:tc>
          <w:tcPr>
            <w:tcW w:w="2693" w:type="dxa"/>
          </w:tcPr>
          <w:p w14:paraId="44668988" w14:textId="6B0ADDF5" w:rsidR="00032747" w:rsidRDefault="00032747" w:rsidP="00826D05">
            <w:pPr>
              <w:pStyle w:val="FSTableText"/>
              <w:rPr>
                <w:lang w:eastAsia="en-AU" w:bidi="ar-SA"/>
              </w:rPr>
            </w:pPr>
            <w:r>
              <w:rPr>
                <w:lang w:eastAsia="en-AU" w:bidi="ar-SA"/>
              </w:rPr>
              <w:t>&gt;1000</w:t>
            </w:r>
          </w:p>
        </w:tc>
      </w:tr>
      <w:tr w:rsidR="00032747" w14:paraId="40BAE275" w14:textId="77777777" w:rsidTr="00AE3507">
        <w:tc>
          <w:tcPr>
            <w:tcW w:w="2528" w:type="dxa"/>
          </w:tcPr>
          <w:p w14:paraId="32BD9333" w14:textId="14EF1F69" w:rsidR="00032747" w:rsidRDefault="002818B9" w:rsidP="00826D05">
            <w:pPr>
              <w:pStyle w:val="FSTableText"/>
              <w:rPr>
                <w:lang w:eastAsia="en-AU" w:bidi="ar-SA"/>
              </w:rPr>
            </w:pPr>
            <w:r>
              <w:rPr>
                <w:lang w:eastAsia="en-AU" w:bidi="ar-SA"/>
              </w:rPr>
              <w:t>Solubility</w:t>
            </w:r>
            <w:r w:rsidR="00032747">
              <w:rPr>
                <w:lang w:eastAsia="en-AU" w:bidi="ar-SA"/>
              </w:rPr>
              <w:t xml:space="preserve"> in </w:t>
            </w:r>
            <w:r w:rsidR="00AB1464">
              <w:rPr>
                <w:lang w:eastAsia="en-AU" w:bidi="ar-SA"/>
              </w:rPr>
              <w:t xml:space="preserve">organic </w:t>
            </w:r>
            <w:r w:rsidR="00032747">
              <w:rPr>
                <w:lang w:eastAsia="en-AU" w:bidi="ar-SA"/>
              </w:rPr>
              <w:t xml:space="preserve">solvents </w:t>
            </w:r>
            <w:r w:rsidR="00AB1464">
              <w:rPr>
                <w:lang w:eastAsia="en-AU" w:bidi="ar-SA"/>
              </w:rPr>
              <w:t xml:space="preserve">(xylene, dichloromethane, methanol, acetone, ethyl acetate, n-heptane) </w:t>
            </w:r>
            <w:r w:rsidR="00032747">
              <w:rPr>
                <w:lang w:eastAsia="en-AU" w:bidi="ar-SA"/>
              </w:rPr>
              <w:t>g/L</w:t>
            </w:r>
          </w:p>
        </w:tc>
        <w:tc>
          <w:tcPr>
            <w:tcW w:w="2854" w:type="dxa"/>
          </w:tcPr>
          <w:p w14:paraId="2DC4E3DF" w14:textId="1B18CCD1" w:rsidR="00032747" w:rsidRDefault="00032747" w:rsidP="00826D05">
            <w:pPr>
              <w:pStyle w:val="FSTableText"/>
              <w:rPr>
                <w:lang w:eastAsia="en-AU" w:bidi="ar-SA"/>
              </w:rPr>
            </w:pPr>
            <w:r>
              <w:rPr>
                <w:lang w:eastAsia="en-AU" w:bidi="ar-SA"/>
              </w:rPr>
              <w:t>&lt;5</w:t>
            </w:r>
          </w:p>
        </w:tc>
        <w:tc>
          <w:tcPr>
            <w:tcW w:w="2693" w:type="dxa"/>
          </w:tcPr>
          <w:p w14:paraId="7C64C3DD" w14:textId="132E0AD7" w:rsidR="00032747" w:rsidRDefault="00032747" w:rsidP="00826D05">
            <w:pPr>
              <w:pStyle w:val="FSTableText"/>
              <w:rPr>
                <w:lang w:eastAsia="en-AU" w:bidi="ar-SA"/>
              </w:rPr>
            </w:pPr>
            <w:r>
              <w:rPr>
                <w:lang w:eastAsia="en-AU" w:bidi="ar-SA"/>
              </w:rPr>
              <w:t>&lt;5</w:t>
            </w:r>
          </w:p>
        </w:tc>
      </w:tr>
      <w:tr w:rsidR="00032747" w14:paraId="7BDEF0B7" w14:textId="77777777" w:rsidTr="00AE3507">
        <w:tc>
          <w:tcPr>
            <w:tcW w:w="2528" w:type="dxa"/>
          </w:tcPr>
          <w:p w14:paraId="1AAFACBA" w14:textId="045CC437" w:rsidR="00032747" w:rsidRDefault="00032747" w:rsidP="00826D05">
            <w:pPr>
              <w:pStyle w:val="FSTableText"/>
              <w:rPr>
                <w:lang w:eastAsia="en-AU" w:bidi="ar-SA"/>
              </w:rPr>
            </w:pPr>
            <w:r>
              <w:rPr>
                <w:lang w:eastAsia="en-AU" w:bidi="ar-SA"/>
              </w:rPr>
              <w:t>Average molecular mass g/mol</w:t>
            </w:r>
          </w:p>
        </w:tc>
        <w:tc>
          <w:tcPr>
            <w:tcW w:w="2854" w:type="dxa"/>
          </w:tcPr>
          <w:p w14:paraId="60822A51" w14:textId="797AFAF4" w:rsidR="00032747" w:rsidRDefault="00032747" w:rsidP="00826D05">
            <w:pPr>
              <w:pStyle w:val="FSTableText"/>
              <w:rPr>
                <w:lang w:eastAsia="en-AU" w:bidi="ar-SA"/>
              </w:rPr>
            </w:pPr>
            <w:r>
              <w:rPr>
                <w:lang w:eastAsia="en-AU" w:bidi="ar-SA"/>
              </w:rPr>
              <w:t>5000</w:t>
            </w:r>
          </w:p>
        </w:tc>
        <w:tc>
          <w:tcPr>
            <w:tcW w:w="2693" w:type="dxa"/>
          </w:tcPr>
          <w:p w14:paraId="6320C97F" w14:textId="4C4416A6" w:rsidR="00032747" w:rsidRDefault="00032747" w:rsidP="00826D05">
            <w:pPr>
              <w:pStyle w:val="FSTableText"/>
              <w:rPr>
                <w:lang w:eastAsia="en-AU" w:bidi="ar-SA"/>
              </w:rPr>
            </w:pPr>
            <w:r>
              <w:rPr>
                <w:lang w:eastAsia="en-AU" w:bidi="ar-SA"/>
              </w:rPr>
              <w:t>5301</w:t>
            </w:r>
          </w:p>
        </w:tc>
      </w:tr>
      <w:tr w:rsidR="00032747" w14:paraId="4821740A" w14:textId="77777777" w:rsidTr="00AE3507">
        <w:tc>
          <w:tcPr>
            <w:tcW w:w="2528" w:type="dxa"/>
          </w:tcPr>
          <w:p w14:paraId="517422D0" w14:textId="59905162" w:rsidR="00032747" w:rsidRDefault="00032747" w:rsidP="00826D05">
            <w:pPr>
              <w:pStyle w:val="FSTableText"/>
              <w:rPr>
                <w:lang w:eastAsia="en-AU" w:bidi="ar-SA"/>
              </w:rPr>
            </w:pPr>
            <w:r>
              <w:rPr>
                <w:lang w:eastAsia="en-AU" w:bidi="ar-SA"/>
              </w:rPr>
              <w:t>Degree of substitution %</w:t>
            </w:r>
          </w:p>
        </w:tc>
        <w:tc>
          <w:tcPr>
            <w:tcW w:w="2854" w:type="dxa"/>
          </w:tcPr>
          <w:p w14:paraId="6F686C96" w14:textId="5A06C12B" w:rsidR="00032747" w:rsidRDefault="00032747" w:rsidP="00826D05">
            <w:pPr>
              <w:pStyle w:val="FSTableText"/>
              <w:rPr>
                <w:lang w:eastAsia="en-AU" w:bidi="ar-SA"/>
              </w:rPr>
            </w:pPr>
            <w:r>
              <w:rPr>
                <w:lang w:eastAsia="en-AU" w:bidi="ar-SA"/>
              </w:rPr>
              <w:t>≥91.5</w:t>
            </w:r>
          </w:p>
        </w:tc>
        <w:tc>
          <w:tcPr>
            <w:tcW w:w="2693" w:type="dxa"/>
          </w:tcPr>
          <w:p w14:paraId="5E784CA6" w14:textId="1AE7F353" w:rsidR="00032747" w:rsidRDefault="00032747" w:rsidP="00826D05">
            <w:pPr>
              <w:pStyle w:val="FSTableText"/>
              <w:rPr>
                <w:lang w:eastAsia="en-AU" w:bidi="ar-SA"/>
              </w:rPr>
            </w:pPr>
            <w:r>
              <w:rPr>
                <w:lang w:eastAsia="en-AU" w:bidi="ar-SA"/>
              </w:rPr>
              <w:t>≥91.5</w:t>
            </w:r>
          </w:p>
        </w:tc>
      </w:tr>
      <w:tr w:rsidR="00032747" w14:paraId="0E5CF53E" w14:textId="77777777" w:rsidTr="00AE3507">
        <w:tc>
          <w:tcPr>
            <w:tcW w:w="2528" w:type="dxa"/>
          </w:tcPr>
          <w:p w14:paraId="79224730" w14:textId="29225166" w:rsidR="00032747" w:rsidRDefault="00032747" w:rsidP="00826D05">
            <w:pPr>
              <w:pStyle w:val="FSTableText"/>
              <w:rPr>
                <w:lang w:eastAsia="en-AU" w:bidi="ar-SA"/>
              </w:rPr>
            </w:pPr>
            <w:r>
              <w:rPr>
                <w:lang w:eastAsia="en-AU" w:bidi="ar-SA"/>
              </w:rPr>
              <w:t>Purity %</w:t>
            </w:r>
          </w:p>
        </w:tc>
        <w:tc>
          <w:tcPr>
            <w:tcW w:w="2854" w:type="dxa"/>
          </w:tcPr>
          <w:p w14:paraId="3311F346" w14:textId="3CEAC80D" w:rsidR="00032747" w:rsidRDefault="00032747" w:rsidP="00826D05">
            <w:pPr>
              <w:pStyle w:val="FSTableText"/>
              <w:rPr>
                <w:lang w:eastAsia="en-AU" w:bidi="ar-SA"/>
              </w:rPr>
            </w:pPr>
            <w:r>
              <w:rPr>
                <w:lang w:eastAsia="en-AU" w:bidi="ar-SA"/>
              </w:rPr>
              <w:t>≥98</w:t>
            </w:r>
          </w:p>
        </w:tc>
        <w:tc>
          <w:tcPr>
            <w:tcW w:w="2693" w:type="dxa"/>
          </w:tcPr>
          <w:p w14:paraId="1079090D" w14:textId="170D069B" w:rsidR="00032747" w:rsidRDefault="00032747" w:rsidP="00826D05">
            <w:pPr>
              <w:pStyle w:val="FSTableText"/>
              <w:rPr>
                <w:lang w:eastAsia="en-AU" w:bidi="ar-SA"/>
              </w:rPr>
            </w:pPr>
            <w:r>
              <w:rPr>
                <w:lang w:eastAsia="en-AU" w:bidi="ar-SA"/>
              </w:rPr>
              <w:t>≥98</w:t>
            </w:r>
          </w:p>
        </w:tc>
      </w:tr>
      <w:tr w:rsidR="00032747" w14:paraId="690708CC" w14:textId="77777777" w:rsidTr="00AE3507">
        <w:tc>
          <w:tcPr>
            <w:tcW w:w="2528" w:type="dxa"/>
          </w:tcPr>
          <w:p w14:paraId="466D8783" w14:textId="4CB2A904" w:rsidR="00032747" w:rsidRDefault="00032747" w:rsidP="00826D05">
            <w:pPr>
              <w:pStyle w:val="FSTableText"/>
              <w:rPr>
                <w:lang w:eastAsia="en-AU" w:bidi="ar-SA"/>
              </w:rPr>
            </w:pPr>
            <w:r>
              <w:rPr>
                <w:lang w:eastAsia="en-AU" w:bidi="ar-SA"/>
              </w:rPr>
              <w:t>Free aspartic acid content %</w:t>
            </w:r>
          </w:p>
        </w:tc>
        <w:tc>
          <w:tcPr>
            <w:tcW w:w="2854" w:type="dxa"/>
          </w:tcPr>
          <w:p w14:paraId="72F48B4C" w14:textId="55540C7A" w:rsidR="00032747" w:rsidRDefault="00032747" w:rsidP="00826D05">
            <w:pPr>
              <w:pStyle w:val="FSTableText"/>
              <w:rPr>
                <w:lang w:eastAsia="en-AU" w:bidi="ar-SA"/>
              </w:rPr>
            </w:pPr>
            <w:r>
              <w:rPr>
                <w:lang w:eastAsia="en-AU" w:bidi="ar-SA"/>
              </w:rPr>
              <w:t>≤2</w:t>
            </w:r>
          </w:p>
        </w:tc>
        <w:tc>
          <w:tcPr>
            <w:tcW w:w="2693" w:type="dxa"/>
          </w:tcPr>
          <w:p w14:paraId="11043236" w14:textId="1C368691" w:rsidR="00032747" w:rsidRDefault="00032747" w:rsidP="00826D05">
            <w:pPr>
              <w:pStyle w:val="FSTableText"/>
              <w:rPr>
                <w:lang w:eastAsia="en-AU" w:bidi="ar-SA"/>
              </w:rPr>
            </w:pPr>
            <w:r>
              <w:rPr>
                <w:lang w:eastAsia="en-AU" w:bidi="ar-SA"/>
              </w:rPr>
              <w:t>≤1</w:t>
            </w:r>
          </w:p>
        </w:tc>
      </w:tr>
      <w:tr w:rsidR="00032747" w14:paraId="1C7B6085" w14:textId="77777777" w:rsidTr="00AE3507">
        <w:tc>
          <w:tcPr>
            <w:tcW w:w="2528" w:type="dxa"/>
          </w:tcPr>
          <w:p w14:paraId="1637FC46" w14:textId="4819365A" w:rsidR="00032747" w:rsidRDefault="00C13910" w:rsidP="00826D05">
            <w:pPr>
              <w:pStyle w:val="FSTableText"/>
              <w:rPr>
                <w:lang w:eastAsia="en-AU" w:bidi="ar-SA"/>
              </w:rPr>
            </w:pPr>
            <w:r>
              <w:rPr>
                <w:lang w:eastAsia="en-AU" w:bidi="ar-SA"/>
              </w:rPr>
              <w:t>Loss on drying</w:t>
            </w:r>
          </w:p>
        </w:tc>
        <w:tc>
          <w:tcPr>
            <w:tcW w:w="2854" w:type="dxa"/>
          </w:tcPr>
          <w:p w14:paraId="7CD5B8B5" w14:textId="6AF8BDEA" w:rsidR="00032747" w:rsidRDefault="00032747" w:rsidP="00826D05">
            <w:pPr>
              <w:pStyle w:val="FSTableText"/>
              <w:rPr>
                <w:lang w:eastAsia="en-AU" w:bidi="ar-SA"/>
              </w:rPr>
            </w:pPr>
            <w:r>
              <w:rPr>
                <w:lang w:eastAsia="en-AU" w:bidi="ar-SA"/>
              </w:rPr>
              <w:t>&lt;10</w:t>
            </w:r>
          </w:p>
        </w:tc>
        <w:tc>
          <w:tcPr>
            <w:tcW w:w="2693" w:type="dxa"/>
          </w:tcPr>
          <w:p w14:paraId="7FCDFD4D" w14:textId="34C0DA03" w:rsidR="00032747" w:rsidRDefault="00032747" w:rsidP="00826D05">
            <w:pPr>
              <w:pStyle w:val="FSTableText"/>
              <w:rPr>
                <w:lang w:eastAsia="en-AU" w:bidi="ar-SA"/>
              </w:rPr>
            </w:pPr>
            <w:r>
              <w:rPr>
                <w:lang w:eastAsia="en-AU" w:bidi="ar-SA"/>
              </w:rPr>
              <w:t>≤</w:t>
            </w:r>
            <w:r w:rsidR="00CF7293">
              <w:rPr>
                <w:lang w:eastAsia="en-AU" w:bidi="ar-SA"/>
              </w:rPr>
              <w:t>6.90</w:t>
            </w:r>
          </w:p>
        </w:tc>
      </w:tr>
      <w:tr w:rsidR="00032747" w14:paraId="4429389E" w14:textId="77777777" w:rsidTr="00AE3507">
        <w:tc>
          <w:tcPr>
            <w:tcW w:w="2528" w:type="dxa"/>
          </w:tcPr>
          <w:p w14:paraId="4DE96961" w14:textId="14A8F7AC" w:rsidR="00032747" w:rsidRDefault="00032747" w:rsidP="00826D05">
            <w:pPr>
              <w:pStyle w:val="FSTableText"/>
              <w:rPr>
                <w:lang w:eastAsia="en-AU" w:bidi="ar-SA"/>
              </w:rPr>
            </w:pPr>
            <w:r>
              <w:rPr>
                <w:lang w:eastAsia="en-AU" w:bidi="ar-SA"/>
              </w:rPr>
              <w:t>Iron mg/Kg</w:t>
            </w:r>
          </w:p>
        </w:tc>
        <w:tc>
          <w:tcPr>
            <w:tcW w:w="2854" w:type="dxa"/>
          </w:tcPr>
          <w:p w14:paraId="0E7C7DF7" w14:textId="70631009" w:rsidR="00032747" w:rsidRDefault="00032747" w:rsidP="00826D05">
            <w:pPr>
              <w:pStyle w:val="FSTableText"/>
              <w:rPr>
                <w:lang w:eastAsia="en-AU" w:bidi="ar-SA"/>
              </w:rPr>
            </w:pPr>
            <w:r>
              <w:rPr>
                <w:lang w:eastAsia="en-AU" w:bidi="ar-SA"/>
              </w:rPr>
              <w:t>&lt;10</w:t>
            </w:r>
          </w:p>
        </w:tc>
        <w:tc>
          <w:tcPr>
            <w:tcW w:w="2693" w:type="dxa"/>
          </w:tcPr>
          <w:p w14:paraId="69DC5156" w14:textId="28C23A73" w:rsidR="00032747" w:rsidRDefault="003D270A" w:rsidP="00826D05">
            <w:pPr>
              <w:pStyle w:val="FSTableText"/>
              <w:rPr>
                <w:lang w:eastAsia="en-AU" w:bidi="ar-SA"/>
              </w:rPr>
            </w:pPr>
            <w:r>
              <w:rPr>
                <w:lang w:eastAsia="en-AU" w:bidi="ar-SA"/>
              </w:rPr>
              <w:t>7.40</w:t>
            </w:r>
          </w:p>
        </w:tc>
      </w:tr>
      <w:tr w:rsidR="00032747" w14:paraId="6D6A7455" w14:textId="77777777" w:rsidTr="00AE3507">
        <w:tc>
          <w:tcPr>
            <w:tcW w:w="2528" w:type="dxa"/>
          </w:tcPr>
          <w:p w14:paraId="7C6DE035" w14:textId="245B956B" w:rsidR="00032747" w:rsidRDefault="00032747" w:rsidP="00826D05">
            <w:pPr>
              <w:pStyle w:val="FSTableText"/>
              <w:rPr>
                <w:lang w:eastAsia="en-AU" w:bidi="ar-SA"/>
              </w:rPr>
            </w:pPr>
            <w:r>
              <w:rPr>
                <w:lang w:eastAsia="en-AU" w:bidi="ar-SA"/>
              </w:rPr>
              <w:t>Arsenic mg/Kg</w:t>
            </w:r>
          </w:p>
        </w:tc>
        <w:tc>
          <w:tcPr>
            <w:tcW w:w="2854" w:type="dxa"/>
          </w:tcPr>
          <w:p w14:paraId="1E3F5727" w14:textId="6BC76F7E" w:rsidR="00032747" w:rsidRDefault="00032747" w:rsidP="00826D05">
            <w:pPr>
              <w:pStyle w:val="FSTableText"/>
              <w:rPr>
                <w:lang w:eastAsia="en-AU" w:bidi="ar-SA"/>
              </w:rPr>
            </w:pPr>
            <w:r>
              <w:rPr>
                <w:lang w:eastAsia="en-AU" w:bidi="ar-SA"/>
              </w:rPr>
              <w:t>&lt;3</w:t>
            </w:r>
          </w:p>
        </w:tc>
        <w:tc>
          <w:tcPr>
            <w:tcW w:w="2693" w:type="dxa"/>
          </w:tcPr>
          <w:p w14:paraId="20E4324D" w14:textId="5C2F17F8" w:rsidR="00032747" w:rsidRDefault="003D270A" w:rsidP="00826D05">
            <w:pPr>
              <w:pStyle w:val="FSTableText"/>
              <w:rPr>
                <w:lang w:eastAsia="en-AU" w:bidi="ar-SA"/>
              </w:rPr>
            </w:pPr>
            <w:r>
              <w:rPr>
                <w:lang w:eastAsia="en-AU" w:bidi="ar-SA"/>
              </w:rPr>
              <w:t>0.00</w:t>
            </w:r>
          </w:p>
        </w:tc>
      </w:tr>
      <w:tr w:rsidR="00032747" w14:paraId="7B4DC2DB" w14:textId="77777777" w:rsidTr="00AE3507">
        <w:tc>
          <w:tcPr>
            <w:tcW w:w="2528" w:type="dxa"/>
          </w:tcPr>
          <w:p w14:paraId="27FDE235" w14:textId="09AF8411" w:rsidR="00032747" w:rsidRDefault="00032747" w:rsidP="00826D05">
            <w:pPr>
              <w:pStyle w:val="FSTableText"/>
              <w:rPr>
                <w:lang w:eastAsia="en-AU" w:bidi="ar-SA"/>
              </w:rPr>
            </w:pPr>
            <w:r>
              <w:rPr>
                <w:lang w:eastAsia="en-AU" w:bidi="ar-SA"/>
              </w:rPr>
              <w:t>Lead mg/Kg</w:t>
            </w:r>
          </w:p>
        </w:tc>
        <w:tc>
          <w:tcPr>
            <w:tcW w:w="2854" w:type="dxa"/>
          </w:tcPr>
          <w:p w14:paraId="51DBD283" w14:textId="0B46ADC8" w:rsidR="00032747" w:rsidRDefault="00032747" w:rsidP="00826D05">
            <w:pPr>
              <w:pStyle w:val="FSTableText"/>
              <w:rPr>
                <w:lang w:eastAsia="en-AU" w:bidi="ar-SA"/>
              </w:rPr>
            </w:pPr>
            <w:r>
              <w:rPr>
                <w:lang w:eastAsia="en-AU" w:bidi="ar-SA"/>
              </w:rPr>
              <w:t>&lt;2</w:t>
            </w:r>
          </w:p>
        </w:tc>
        <w:tc>
          <w:tcPr>
            <w:tcW w:w="2693" w:type="dxa"/>
          </w:tcPr>
          <w:p w14:paraId="044F8FD6" w14:textId="114361CC" w:rsidR="00032747" w:rsidRDefault="003D270A" w:rsidP="00826D05">
            <w:pPr>
              <w:pStyle w:val="FSTableText"/>
              <w:rPr>
                <w:lang w:eastAsia="en-AU" w:bidi="ar-SA"/>
              </w:rPr>
            </w:pPr>
            <w:r>
              <w:rPr>
                <w:lang w:eastAsia="en-AU" w:bidi="ar-SA"/>
              </w:rPr>
              <w:t>0.00</w:t>
            </w:r>
          </w:p>
        </w:tc>
      </w:tr>
      <w:tr w:rsidR="00032747" w14:paraId="4893C7A9" w14:textId="77777777" w:rsidTr="00AE3507">
        <w:tc>
          <w:tcPr>
            <w:tcW w:w="2528" w:type="dxa"/>
          </w:tcPr>
          <w:p w14:paraId="536C8438" w14:textId="4FCE6B59" w:rsidR="00032747" w:rsidRDefault="00032747" w:rsidP="00826D05">
            <w:pPr>
              <w:pStyle w:val="FSTableText"/>
              <w:rPr>
                <w:lang w:eastAsia="en-AU" w:bidi="ar-SA"/>
              </w:rPr>
            </w:pPr>
            <w:r>
              <w:rPr>
                <w:lang w:eastAsia="en-AU" w:bidi="ar-SA"/>
              </w:rPr>
              <w:t>Mercury mg/Kg</w:t>
            </w:r>
          </w:p>
        </w:tc>
        <w:tc>
          <w:tcPr>
            <w:tcW w:w="2854" w:type="dxa"/>
          </w:tcPr>
          <w:p w14:paraId="05193B7A" w14:textId="5D701977" w:rsidR="00032747" w:rsidRDefault="00032747" w:rsidP="00826D05">
            <w:pPr>
              <w:pStyle w:val="FSTableText"/>
              <w:rPr>
                <w:lang w:eastAsia="en-AU" w:bidi="ar-SA"/>
              </w:rPr>
            </w:pPr>
            <w:r>
              <w:rPr>
                <w:lang w:eastAsia="en-AU" w:bidi="ar-SA"/>
              </w:rPr>
              <w:t>&lt;1</w:t>
            </w:r>
          </w:p>
        </w:tc>
        <w:tc>
          <w:tcPr>
            <w:tcW w:w="2693" w:type="dxa"/>
          </w:tcPr>
          <w:p w14:paraId="36D5F138" w14:textId="1173F6A9" w:rsidR="00032747" w:rsidRDefault="00C10B5A" w:rsidP="00826D05">
            <w:pPr>
              <w:pStyle w:val="FSTableText"/>
              <w:rPr>
                <w:lang w:eastAsia="en-AU" w:bidi="ar-SA"/>
              </w:rPr>
            </w:pPr>
            <w:r>
              <w:rPr>
                <w:lang w:eastAsia="en-AU" w:bidi="ar-SA"/>
              </w:rPr>
              <w:t>-</w:t>
            </w:r>
          </w:p>
        </w:tc>
      </w:tr>
      <w:tr w:rsidR="00032747" w14:paraId="55597D53" w14:textId="77777777" w:rsidTr="00AE3507">
        <w:tc>
          <w:tcPr>
            <w:tcW w:w="2528" w:type="dxa"/>
          </w:tcPr>
          <w:p w14:paraId="64721E4A" w14:textId="6BEFF4A6" w:rsidR="00032747" w:rsidRDefault="00032747" w:rsidP="00826D05">
            <w:pPr>
              <w:pStyle w:val="FSTableText"/>
              <w:rPr>
                <w:lang w:eastAsia="en-AU" w:bidi="ar-SA"/>
              </w:rPr>
            </w:pPr>
            <w:r>
              <w:rPr>
                <w:lang w:eastAsia="en-AU" w:bidi="ar-SA"/>
              </w:rPr>
              <w:t>Cadmium mg/Kg</w:t>
            </w:r>
          </w:p>
        </w:tc>
        <w:tc>
          <w:tcPr>
            <w:tcW w:w="2854" w:type="dxa"/>
          </w:tcPr>
          <w:p w14:paraId="0900D9B9" w14:textId="3538E14F" w:rsidR="00032747" w:rsidRDefault="00032747" w:rsidP="00826D05">
            <w:pPr>
              <w:pStyle w:val="FSTableText"/>
              <w:rPr>
                <w:lang w:eastAsia="en-AU" w:bidi="ar-SA"/>
              </w:rPr>
            </w:pPr>
            <w:r>
              <w:rPr>
                <w:lang w:eastAsia="en-AU" w:bidi="ar-SA"/>
              </w:rPr>
              <w:t>&lt;1</w:t>
            </w:r>
          </w:p>
        </w:tc>
        <w:tc>
          <w:tcPr>
            <w:tcW w:w="2693" w:type="dxa"/>
          </w:tcPr>
          <w:p w14:paraId="120B44C2" w14:textId="3256824C" w:rsidR="00032747" w:rsidRDefault="003D270A" w:rsidP="00826D05">
            <w:pPr>
              <w:pStyle w:val="FSTableText"/>
              <w:rPr>
                <w:lang w:eastAsia="en-AU" w:bidi="ar-SA"/>
              </w:rPr>
            </w:pPr>
            <w:r>
              <w:rPr>
                <w:lang w:eastAsia="en-AU" w:bidi="ar-SA"/>
              </w:rPr>
              <w:t>0.00</w:t>
            </w:r>
          </w:p>
        </w:tc>
      </w:tr>
    </w:tbl>
    <w:p w14:paraId="4419F193" w14:textId="77777777" w:rsidR="00800E58" w:rsidRDefault="00800E58" w:rsidP="00CF6035">
      <w:pPr>
        <w:rPr>
          <w:lang w:eastAsia="en-AU" w:bidi="ar-SA"/>
        </w:rPr>
      </w:pPr>
    </w:p>
    <w:p w14:paraId="450F3811" w14:textId="7E5FBEAF" w:rsidR="00D96DBC" w:rsidRDefault="00D96DBC" w:rsidP="00F230A5">
      <w:pPr>
        <w:pStyle w:val="Heading2"/>
      </w:pPr>
      <w:bookmarkStart w:id="47" w:name="_Toc521330345"/>
      <w:bookmarkStart w:id="48" w:name="_Toc522276766"/>
      <w:bookmarkStart w:id="49" w:name="_Toc522780493"/>
      <w:bookmarkStart w:id="50" w:name="_Toc524342534"/>
      <w:r>
        <w:t>2.</w:t>
      </w:r>
      <w:r w:rsidR="00F861F2">
        <w:t>7</w:t>
      </w:r>
      <w:r w:rsidR="004B6E3F">
        <w:t xml:space="preserve"> </w:t>
      </w:r>
      <w:r>
        <w:t xml:space="preserve">Analytical method </w:t>
      </w:r>
      <w:r w:rsidR="00711DFC">
        <w:t xml:space="preserve">of </w:t>
      </w:r>
      <w:r>
        <w:t>detection</w:t>
      </w:r>
      <w:bookmarkEnd w:id="47"/>
      <w:bookmarkEnd w:id="48"/>
      <w:bookmarkEnd w:id="49"/>
      <w:bookmarkEnd w:id="50"/>
    </w:p>
    <w:p w14:paraId="29F631FA" w14:textId="548EB3DF" w:rsidR="00E10CC9" w:rsidRDefault="00AB1464" w:rsidP="00E10CC9">
      <w:pPr>
        <w:rPr>
          <w:lang w:eastAsia="en-AU" w:bidi="ar-SA"/>
        </w:rPr>
      </w:pPr>
      <w:r>
        <w:rPr>
          <w:lang w:eastAsia="en-AU" w:bidi="ar-SA"/>
        </w:rPr>
        <w:t>The application included infor</w:t>
      </w:r>
      <w:r w:rsidR="00DF593A">
        <w:rPr>
          <w:lang w:eastAsia="en-AU" w:bidi="ar-SA"/>
        </w:rPr>
        <w:t xml:space="preserve">mation on the analytical method </w:t>
      </w:r>
      <w:r w:rsidR="00711DFC">
        <w:rPr>
          <w:lang w:eastAsia="en-AU" w:bidi="ar-SA"/>
        </w:rPr>
        <w:t xml:space="preserve">of </w:t>
      </w:r>
      <w:r w:rsidR="00A04533">
        <w:rPr>
          <w:lang w:eastAsia="en-AU" w:bidi="ar-SA"/>
        </w:rPr>
        <w:t xml:space="preserve">determining </w:t>
      </w:r>
      <w:r w:rsidR="00090B6B">
        <w:rPr>
          <w:lang w:eastAsia="en-AU" w:bidi="ar-SA"/>
        </w:rPr>
        <w:t xml:space="preserve">the </w:t>
      </w:r>
      <w:r>
        <w:rPr>
          <w:lang w:eastAsia="en-AU" w:bidi="ar-SA"/>
        </w:rPr>
        <w:t>active substance (aspartic acid)</w:t>
      </w:r>
      <w:r w:rsidR="00DF593A">
        <w:rPr>
          <w:lang w:eastAsia="en-AU" w:bidi="ar-SA"/>
        </w:rPr>
        <w:t xml:space="preserve"> </w:t>
      </w:r>
      <w:r w:rsidR="00454139">
        <w:rPr>
          <w:lang w:eastAsia="en-AU" w:bidi="ar-SA"/>
        </w:rPr>
        <w:t xml:space="preserve">produced during degradation of potassium polyaspartate </w:t>
      </w:r>
      <w:r w:rsidR="00DF593A">
        <w:rPr>
          <w:lang w:eastAsia="en-AU" w:bidi="ar-SA"/>
        </w:rPr>
        <w:t xml:space="preserve">in red and white wine. </w:t>
      </w:r>
      <w:r w:rsidR="00D16D08">
        <w:rPr>
          <w:lang w:eastAsia="en-AU" w:bidi="ar-SA"/>
        </w:rPr>
        <w:t>Based on relevant guidelines and criteria t</w:t>
      </w:r>
      <w:r w:rsidR="00DF593A">
        <w:rPr>
          <w:lang w:eastAsia="en-AU" w:bidi="ar-SA"/>
        </w:rPr>
        <w:t xml:space="preserve">he </w:t>
      </w:r>
      <w:r w:rsidR="00D16D08">
        <w:rPr>
          <w:lang w:eastAsia="en-AU" w:bidi="ar-SA"/>
        </w:rPr>
        <w:t xml:space="preserve">applicant was able to conclude that the </w:t>
      </w:r>
      <w:r w:rsidR="00DF593A">
        <w:rPr>
          <w:lang w:eastAsia="en-AU" w:bidi="ar-SA"/>
        </w:rPr>
        <w:t xml:space="preserve">accuracy </w:t>
      </w:r>
      <w:r w:rsidR="00141A98">
        <w:rPr>
          <w:lang w:eastAsia="en-AU" w:bidi="ar-SA"/>
        </w:rPr>
        <w:t>of the method</w:t>
      </w:r>
      <w:r w:rsidR="00DF593A">
        <w:rPr>
          <w:lang w:eastAsia="en-AU" w:bidi="ar-SA"/>
        </w:rPr>
        <w:t xml:space="preserve"> was considered acceptable and met validation parameters. </w:t>
      </w:r>
    </w:p>
    <w:p w14:paraId="55117F45" w14:textId="018572BC" w:rsidR="00793859" w:rsidRPr="00E10CC9" w:rsidRDefault="00793859" w:rsidP="00E10CC9">
      <w:pPr>
        <w:rPr>
          <w:lang w:eastAsia="en-AU" w:bidi="ar-SA"/>
        </w:rPr>
      </w:pPr>
    </w:p>
    <w:p w14:paraId="778F5289" w14:textId="3BACB13C" w:rsidR="00714519" w:rsidRPr="00E10CC9" w:rsidRDefault="00714519" w:rsidP="00E10CC9">
      <w:pPr>
        <w:rPr>
          <w:lang w:eastAsia="en-AU" w:bidi="ar-SA"/>
        </w:rPr>
      </w:pPr>
      <w:bookmarkStart w:id="51" w:name="_Toc521330346"/>
      <w:r>
        <w:rPr>
          <w:lang w:eastAsia="en-AU" w:bidi="ar-SA"/>
        </w:rPr>
        <w:t xml:space="preserve">In practice, winemakers may use the “cold test” </w:t>
      </w:r>
      <w:r w:rsidR="00833F9B">
        <w:rPr>
          <w:lang w:eastAsia="en-AU" w:bidi="ar-SA"/>
        </w:rPr>
        <w:t>to determine stability of wine</w:t>
      </w:r>
      <w:r w:rsidR="005D2399">
        <w:rPr>
          <w:lang w:eastAsia="en-AU" w:bidi="ar-SA"/>
        </w:rPr>
        <w:t xml:space="preserve"> </w:t>
      </w:r>
      <w:r w:rsidR="00711DFC">
        <w:rPr>
          <w:lang w:eastAsia="en-AU" w:bidi="ar-SA"/>
        </w:rPr>
        <w:t xml:space="preserve">when </w:t>
      </w:r>
      <w:r w:rsidR="00833F9B">
        <w:rPr>
          <w:lang w:eastAsia="en-AU" w:bidi="ar-SA"/>
        </w:rPr>
        <w:t>stored at -4</w:t>
      </w:r>
      <w:r w:rsidR="00833F9B">
        <w:rPr>
          <w:rFonts w:cs="Arial"/>
          <w:lang w:eastAsia="en-AU" w:bidi="ar-SA"/>
        </w:rPr>
        <w:t>°</w:t>
      </w:r>
      <w:r w:rsidR="00833F9B">
        <w:rPr>
          <w:lang w:eastAsia="en-AU" w:bidi="ar-SA"/>
        </w:rPr>
        <w:t>C for 6 days to allow potassium bitartrate crystallisation. To determine losses of potassium bitartrate as crystals during cold storage</w:t>
      </w:r>
      <w:r w:rsidR="00711DFC">
        <w:rPr>
          <w:lang w:eastAsia="en-AU" w:bidi="ar-SA"/>
        </w:rPr>
        <w:t>,</w:t>
      </w:r>
      <w:r w:rsidR="00833F9B">
        <w:rPr>
          <w:lang w:eastAsia="en-AU" w:bidi="ar-SA"/>
        </w:rPr>
        <w:t xml:space="preserve"> the tartaric acid concentration is </w:t>
      </w:r>
      <w:r w:rsidR="00711DFC">
        <w:rPr>
          <w:lang w:eastAsia="en-AU" w:bidi="ar-SA"/>
        </w:rPr>
        <w:t xml:space="preserve">analysed </w:t>
      </w:r>
      <w:r w:rsidR="00833F9B">
        <w:rPr>
          <w:lang w:eastAsia="en-AU" w:bidi="ar-SA"/>
        </w:rPr>
        <w:t>before and after cold storage</w:t>
      </w:r>
      <w:r w:rsidR="005D2399">
        <w:rPr>
          <w:lang w:eastAsia="en-AU" w:bidi="ar-SA"/>
        </w:rPr>
        <w:t xml:space="preserve"> and the</w:t>
      </w:r>
      <w:r w:rsidR="00833F9B">
        <w:rPr>
          <w:lang w:eastAsia="en-AU" w:bidi="ar-SA"/>
        </w:rPr>
        <w:t xml:space="preserve"> difference </w:t>
      </w:r>
      <w:r w:rsidR="00711DFC">
        <w:rPr>
          <w:lang w:eastAsia="en-AU" w:bidi="ar-SA"/>
        </w:rPr>
        <w:t xml:space="preserve">indicates </w:t>
      </w:r>
      <w:r w:rsidR="00833F9B">
        <w:rPr>
          <w:lang w:eastAsia="en-AU" w:bidi="ar-SA"/>
        </w:rPr>
        <w:t>tartaric instability (Bosso et al, 2015</w:t>
      </w:r>
      <w:r w:rsidR="00EE05FD">
        <w:rPr>
          <w:lang w:eastAsia="en-AU" w:bidi="ar-SA"/>
        </w:rPr>
        <w:t>b</w:t>
      </w:r>
      <w:r w:rsidR="00833F9B">
        <w:rPr>
          <w:lang w:eastAsia="en-AU" w:bidi="ar-SA"/>
        </w:rPr>
        <w:t xml:space="preserve">). </w:t>
      </w:r>
    </w:p>
    <w:p w14:paraId="2FF7FCA0" w14:textId="0BAB30FE" w:rsidR="00034DE6" w:rsidRDefault="00034DE6" w:rsidP="00F230A5">
      <w:pPr>
        <w:pStyle w:val="Heading2"/>
      </w:pPr>
      <w:bookmarkStart w:id="52" w:name="_Toc522276767"/>
      <w:bookmarkStart w:id="53" w:name="_Toc522780494"/>
      <w:bookmarkStart w:id="54" w:name="_Toc524342535"/>
      <w:r>
        <w:t>2.</w:t>
      </w:r>
      <w:r w:rsidR="00F861F2">
        <w:t>8</w:t>
      </w:r>
      <w:r w:rsidR="004B6E3F">
        <w:t xml:space="preserve"> </w:t>
      </w:r>
      <w:r w:rsidR="00E10CC9">
        <w:t>Product s</w:t>
      </w:r>
      <w:r>
        <w:t>tability</w:t>
      </w:r>
      <w:bookmarkEnd w:id="51"/>
      <w:bookmarkEnd w:id="52"/>
      <w:bookmarkEnd w:id="53"/>
      <w:bookmarkEnd w:id="54"/>
    </w:p>
    <w:p w14:paraId="00B6A0EB" w14:textId="6E6FA25D" w:rsidR="00B93EAC" w:rsidRDefault="007152F7" w:rsidP="00F861F2">
      <w:pPr>
        <w:pStyle w:val="Heading3"/>
      </w:pPr>
      <w:bookmarkStart w:id="55" w:name="_Toc522276768"/>
      <w:bookmarkStart w:id="56" w:name="_Toc522780495"/>
      <w:bookmarkStart w:id="57" w:name="_Toc524342536"/>
      <w:r>
        <w:t>2.</w:t>
      </w:r>
      <w:r w:rsidR="00F861F2">
        <w:t>8</w:t>
      </w:r>
      <w:r>
        <w:t xml:space="preserve">.1 </w:t>
      </w:r>
      <w:r w:rsidR="00711DFC">
        <w:t>Shelf-</w:t>
      </w:r>
      <w:r w:rsidR="00B93EAC">
        <w:t>life</w:t>
      </w:r>
      <w:bookmarkEnd w:id="55"/>
      <w:bookmarkEnd w:id="56"/>
      <w:bookmarkEnd w:id="57"/>
    </w:p>
    <w:p w14:paraId="3071F0F6" w14:textId="754AAB07" w:rsidR="00E24D7D" w:rsidRDefault="00E24D7D" w:rsidP="008875D5">
      <w:pPr>
        <w:rPr>
          <w:lang w:eastAsia="en-AU" w:bidi="ar-SA"/>
        </w:rPr>
      </w:pPr>
      <w:r>
        <w:rPr>
          <w:lang w:eastAsia="en-AU" w:bidi="ar-SA"/>
        </w:rPr>
        <w:t xml:space="preserve">The </w:t>
      </w:r>
      <w:r w:rsidR="00EF1B9B">
        <w:rPr>
          <w:lang w:eastAsia="en-AU" w:bidi="ar-SA"/>
        </w:rPr>
        <w:t xml:space="preserve">application </w:t>
      </w:r>
      <w:r w:rsidR="00711DFC">
        <w:rPr>
          <w:lang w:eastAsia="en-AU" w:bidi="ar-SA"/>
        </w:rPr>
        <w:t xml:space="preserve">stated </w:t>
      </w:r>
      <w:r w:rsidR="00EF1B9B">
        <w:rPr>
          <w:lang w:eastAsia="en-AU" w:bidi="ar-SA"/>
        </w:rPr>
        <w:t>that the</w:t>
      </w:r>
      <w:r>
        <w:rPr>
          <w:lang w:eastAsia="en-AU" w:bidi="ar-SA"/>
        </w:rPr>
        <w:t xml:space="preserve"> </w:t>
      </w:r>
      <w:r w:rsidR="00711DFC">
        <w:rPr>
          <w:lang w:eastAsia="en-AU" w:bidi="ar-SA"/>
        </w:rPr>
        <w:t>shelf-</w:t>
      </w:r>
      <w:r>
        <w:rPr>
          <w:lang w:eastAsia="en-AU" w:bidi="ar-SA"/>
        </w:rPr>
        <w:t>li</w:t>
      </w:r>
      <w:r w:rsidR="00F0488A">
        <w:rPr>
          <w:lang w:eastAsia="en-AU" w:bidi="ar-SA"/>
        </w:rPr>
        <w:t xml:space="preserve">fe of </w:t>
      </w:r>
      <w:r w:rsidR="00ED12B7">
        <w:rPr>
          <w:lang w:eastAsia="en-AU" w:bidi="ar-SA"/>
        </w:rPr>
        <w:t xml:space="preserve">potassium polyaspartate is 4 years. </w:t>
      </w:r>
      <w:r w:rsidR="001243D6">
        <w:rPr>
          <w:lang w:eastAsia="en-AU" w:bidi="ar-SA"/>
        </w:rPr>
        <w:t xml:space="preserve">This </w:t>
      </w:r>
      <w:r w:rsidR="00711DFC">
        <w:rPr>
          <w:lang w:eastAsia="en-AU" w:bidi="ar-SA"/>
        </w:rPr>
        <w:t xml:space="preserve">was </w:t>
      </w:r>
      <w:r w:rsidR="00EF1B9B">
        <w:rPr>
          <w:lang w:eastAsia="en-AU" w:bidi="ar-SA"/>
        </w:rPr>
        <w:t>established from</w:t>
      </w:r>
      <w:r w:rsidR="001243D6">
        <w:rPr>
          <w:lang w:eastAsia="en-AU" w:bidi="ar-SA"/>
        </w:rPr>
        <w:t xml:space="preserve"> a</w:t>
      </w:r>
      <w:r w:rsidR="00ED12B7">
        <w:rPr>
          <w:lang w:eastAsia="en-AU" w:bidi="ar-SA"/>
        </w:rPr>
        <w:t>ccelerated storage test</w:t>
      </w:r>
      <w:r w:rsidR="00EF1B9B">
        <w:rPr>
          <w:lang w:eastAsia="en-AU" w:bidi="ar-SA"/>
        </w:rPr>
        <w:t xml:space="preserve"> results</w:t>
      </w:r>
      <w:r w:rsidR="00ED12B7">
        <w:rPr>
          <w:lang w:eastAsia="en-AU" w:bidi="ar-SA"/>
        </w:rPr>
        <w:t xml:space="preserve"> at ambient </w:t>
      </w:r>
      <w:r w:rsidR="00406C7E">
        <w:rPr>
          <w:lang w:eastAsia="en-AU" w:bidi="ar-SA"/>
        </w:rPr>
        <w:t>temperature</w:t>
      </w:r>
      <w:r w:rsidR="00090B6B">
        <w:rPr>
          <w:lang w:eastAsia="en-AU" w:bidi="ar-SA"/>
        </w:rPr>
        <w:t xml:space="preserve"> </w:t>
      </w:r>
      <w:r w:rsidR="00ED12B7">
        <w:rPr>
          <w:lang w:eastAsia="en-AU" w:bidi="ar-SA"/>
        </w:rPr>
        <w:t>(25</w:t>
      </w:r>
      <w:r w:rsidR="00454139">
        <w:rPr>
          <w:rFonts w:cs="Arial"/>
          <w:lang w:eastAsia="en-AU" w:bidi="ar-SA"/>
        </w:rPr>
        <w:t>°</w:t>
      </w:r>
      <w:r w:rsidR="00ED12B7">
        <w:rPr>
          <w:lang w:eastAsia="en-AU" w:bidi="ar-SA"/>
        </w:rPr>
        <w:t>C) and 40</w:t>
      </w:r>
      <w:r w:rsidR="00454139">
        <w:rPr>
          <w:rFonts w:cs="Arial"/>
          <w:lang w:eastAsia="en-AU" w:bidi="ar-SA"/>
        </w:rPr>
        <w:t>°</w:t>
      </w:r>
      <w:r w:rsidR="00ED12B7">
        <w:rPr>
          <w:lang w:eastAsia="en-AU" w:bidi="ar-SA"/>
        </w:rPr>
        <w:t>C</w:t>
      </w:r>
      <w:r w:rsidR="00711DFC">
        <w:rPr>
          <w:lang w:eastAsia="en-AU" w:bidi="ar-SA"/>
        </w:rPr>
        <w:t>,</w:t>
      </w:r>
      <w:r w:rsidR="00ED12B7">
        <w:rPr>
          <w:lang w:eastAsia="en-AU" w:bidi="ar-SA"/>
        </w:rPr>
        <w:t xml:space="preserve"> </w:t>
      </w:r>
      <w:r w:rsidR="001243D6">
        <w:rPr>
          <w:lang w:eastAsia="en-AU" w:bidi="ar-SA"/>
        </w:rPr>
        <w:t xml:space="preserve">which </w:t>
      </w:r>
      <w:r w:rsidR="00ED12B7">
        <w:rPr>
          <w:lang w:eastAsia="en-AU" w:bidi="ar-SA"/>
        </w:rPr>
        <w:t xml:space="preserve">did not show significant degradation in dry matter content. </w:t>
      </w:r>
      <w:r w:rsidR="001243D6">
        <w:rPr>
          <w:lang w:eastAsia="en-AU" w:bidi="ar-SA"/>
        </w:rPr>
        <w:t>Also, s</w:t>
      </w:r>
      <w:r w:rsidR="00ED12B7">
        <w:rPr>
          <w:lang w:eastAsia="en-AU" w:bidi="ar-SA"/>
        </w:rPr>
        <w:t>torage at ambient temperature showed no significant reduction in potassium polyaspartate content.</w:t>
      </w:r>
    </w:p>
    <w:p w14:paraId="36903BE8" w14:textId="77777777" w:rsidR="00B93EAC" w:rsidRDefault="00B93EAC" w:rsidP="008875D5">
      <w:pPr>
        <w:rPr>
          <w:lang w:eastAsia="en-AU" w:bidi="ar-SA"/>
        </w:rPr>
      </w:pPr>
    </w:p>
    <w:p w14:paraId="1B6DFAAB" w14:textId="2C18E510" w:rsidR="00B93EAC" w:rsidRDefault="007152F7" w:rsidP="00F861F2">
      <w:pPr>
        <w:pStyle w:val="Heading3"/>
      </w:pPr>
      <w:bookmarkStart w:id="58" w:name="_Toc522276769"/>
      <w:bookmarkStart w:id="59" w:name="_Toc522780496"/>
      <w:bookmarkStart w:id="60" w:name="_Toc524342537"/>
      <w:r>
        <w:t>2.</w:t>
      </w:r>
      <w:r w:rsidR="00F861F2">
        <w:t>8</w:t>
      </w:r>
      <w:r>
        <w:t xml:space="preserve">.2 </w:t>
      </w:r>
      <w:r w:rsidR="00406C7E">
        <w:t>Stability in wine</w:t>
      </w:r>
      <w:bookmarkEnd w:id="58"/>
      <w:bookmarkEnd w:id="59"/>
      <w:bookmarkEnd w:id="60"/>
      <w:r w:rsidR="00406C7E">
        <w:t xml:space="preserve"> </w:t>
      </w:r>
    </w:p>
    <w:p w14:paraId="6DDD2E10" w14:textId="42B6144B" w:rsidR="00406C7E" w:rsidRDefault="00406C7E" w:rsidP="00406C7E">
      <w:pPr>
        <w:rPr>
          <w:lang w:eastAsia="en-AU" w:bidi="ar-SA"/>
        </w:rPr>
      </w:pPr>
      <w:r>
        <w:rPr>
          <w:lang w:eastAsia="en-AU" w:bidi="ar-SA"/>
        </w:rPr>
        <w:t>The s</w:t>
      </w:r>
      <w:r w:rsidR="00987E8A">
        <w:rPr>
          <w:lang w:eastAsia="en-AU" w:bidi="ar-SA"/>
        </w:rPr>
        <w:t>tability</w:t>
      </w:r>
      <w:r>
        <w:rPr>
          <w:lang w:eastAsia="en-AU" w:bidi="ar-SA"/>
        </w:rPr>
        <w:t xml:space="preserve"> of potassium polyaspartate</w:t>
      </w:r>
      <w:r w:rsidR="00987E8A">
        <w:rPr>
          <w:lang w:eastAsia="en-AU" w:bidi="ar-SA"/>
        </w:rPr>
        <w:t xml:space="preserve"> in wine was assessed by </w:t>
      </w:r>
      <w:r w:rsidR="00E24D7D">
        <w:rPr>
          <w:lang w:eastAsia="en-AU" w:bidi="ar-SA"/>
        </w:rPr>
        <w:t>measuring</w:t>
      </w:r>
      <w:r w:rsidR="00987E8A">
        <w:rPr>
          <w:lang w:eastAsia="en-AU" w:bidi="ar-SA"/>
        </w:rPr>
        <w:t xml:space="preserve"> </w:t>
      </w:r>
      <w:r>
        <w:rPr>
          <w:lang w:eastAsia="en-AU" w:bidi="ar-SA"/>
        </w:rPr>
        <w:t xml:space="preserve">the </w:t>
      </w:r>
      <w:r w:rsidR="00987E8A">
        <w:rPr>
          <w:lang w:eastAsia="en-AU" w:bidi="ar-SA"/>
        </w:rPr>
        <w:t xml:space="preserve">aspartic acid </w:t>
      </w:r>
      <w:r>
        <w:rPr>
          <w:lang w:eastAsia="en-AU" w:bidi="ar-SA"/>
        </w:rPr>
        <w:t>concentration</w:t>
      </w:r>
      <w:r w:rsidR="00A906D9">
        <w:rPr>
          <w:lang w:eastAsia="en-AU" w:bidi="ar-SA"/>
        </w:rPr>
        <w:t xml:space="preserve"> </w:t>
      </w:r>
      <w:r w:rsidR="00090B6B">
        <w:rPr>
          <w:lang w:eastAsia="en-AU" w:bidi="ar-SA"/>
        </w:rPr>
        <w:t>(</w:t>
      </w:r>
      <w:r w:rsidR="00A906D9">
        <w:rPr>
          <w:lang w:eastAsia="en-AU" w:bidi="ar-SA"/>
        </w:rPr>
        <w:t>as a degradation product of polyaspartate</w:t>
      </w:r>
      <w:r w:rsidR="00090B6B">
        <w:rPr>
          <w:lang w:eastAsia="en-AU" w:bidi="ar-SA"/>
        </w:rPr>
        <w:t>)</w:t>
      </w:r>
      <w:r>
        <w:rPr>
          <w:lang w:eastAsia="en-AU" w:bidi="ar-SA"/>
        </w:rPr>
        <w:t xml:space="preserve"> </w:t>
      </w:r>
      <w:r w:rsidR="00F0488A">
        <w:rPr>
          <w:lang w:eastAsia="en-AU" w:bidi="ar-SA"/>
        </w:rPr>
        <w:t>in wine</w:t>
      </w:r>
      <w:r w:rsidR="00987E8A">
        <w:rPr>
          <w:lang w:eastAsia="en-AU" w:bidi="ar-SA"/>
        </w:rPr>
        <w:t xml:space="preserve"> </w:t>
      </w:r>
      <w:r w:rsidR="00F0098D">
        <w:rPr>
          <w:lang w:eastAsia="en-AU" w:bidi="ar-SA"/>
        </w:rPr>
        <w:t>at 5 and 12 months</w:t>
      </w:r>
      <w:r w:rsidR="00234DF5">
        <w:rPr>
          <w:lang w:eastAsia="en-AU" w:bidi="ar-SA"/>
        </w:rPr>
        <w:t>.</w:t>
      </w:r>
      <w:r>
        <w:rPr>
          <w:lang w:eastAsia="en-AU" w:bidi="ar-SA"/>
        </w:rPr>
        <w:t xml:space="preserve"> White and red wine </w:t>
      </w:r>
      <w:r w:rsidR="00EF1B9B">
        <w:rPr>
          <w:lang w:eastAsia="en-AU" w:bidi="ar-SA"/>
        </w:rPr>
        <w:t xml:space="preserve">samples were </w:t>
      </w:r>
      <w:r>
        <w:rPr>
          <w:lang w:eastAsia="en-AU" w:bidi="ar-SA"/>
        </w:rPr>
        <w:t xml:space="preserve">treated with 100mg/L potassium polyaspartate. There </w:t>
      </w:r>
      <w:r w:rsidR="00A906D9">
        <w:rPr>
          <w:lang w:eastAsia="en-AU" w:bidi="ar-SA"/>
        </w:rPr>
        <w:t>were</w:t>
      </w:r>
      <w:r>
        <w:rPr>
          <w:lang w:eastAsia="en-AU" w:bidi="ar-SA"/>
        </w:rPr>
        <w:t xml:space="preserve"> only </w:t>
      </w:r>
      <w:r w:rsidR="00ED400F">
        <w:rPr>
          <w:lang w:eastAsia="en-AU" w:bidi="ar-SA"/>
        </w:rPr>
        <w:t>small</w:t>
      </w:r>
      <w:r>
        <w:rPr>
          <w:lang w:eastAsia="en-AU" w:bidi="ar-SA"/>
        </w:rPr>
        <w:t xml:space="preserve"> </w:t>
      </w:r>
      <w:r w:rsidR="00ED400F">
        <w:rPr>
          <w:lang w:eastAsia="en-AU" w:bidi="ar-SA"/>
        </w:rPr>
        <w:t>increases in the amount of aspartic acid generated compared to control</w:t>
      </w:r>
      <w:r w:rsidR="00EF1B9B">
        <w:rPr>
          <w:lang w:eastAsia="en-AU" w:bidi="ar-SA"/>
        </w:rPr>
        <w:t>s</w:t>
      </w:r>
      <w:r w:rsidR="00ED400F">
        <w:rPr>
          <w:lang w:eastAsia="en-AU" w:bidi="ar-SA"/>
        </w:rPr>
        <w:t xml:space="preserve"> </w:t>
      </w:r>
      <w:r w:rsidR="00711DFC">
        <w:rPr>
          <w:lang w:eastAsia="en-AU" w:bidi="ar-SA"/>
        </w:rPr>
        <w:t>(</w:t>
      </w:r>
      <w:r w:rsidR="00ED400F">
        <w:rPr>
          <w:lang w:eastAsia="en-AU" w:bidi="ar-SA"/>
        </w:rPr>
        <w:t>untreated wine</w:t>
      </w:r>
      <w:r w:rsidR="00711DFC">
        <w:rPr>
          <w:lang w:eastAsia="en-AU" w:bidi="ar-SA"/>
        </w:rPr>
        <w:t>)</w:t>
      </w:r>
      <w:r w:rsidR="00ED400F">
        <w:rPr>
          <w:lang w:eastAsia="en-AU" w:bidi="ar-SA"/>
        </w:rPr>
        <w:t xml:space="preserve">. </w:t>
      </w:r>
      <w:r w:rsidR="00F468B9">
        <w:rPr>
          <w:lang w:eastAsia="en-AU" w:bidi="ar-SA"/>
        </w:rPr>
        <w:t xml:space="preserve">This was consistent with a study where wine treated with potassium polyaspartate showed a low increase </w:t>
      </w:r>
      <w:r w:rsidR="00A04533">
        <w:rPr>
          <w:lang w:eastAsia="en-AU" w:bidi="ar-SA"/>
        </w:rPr>
        <w:t xml:space="preserve">in aspartic acid </w:t>
      </w:r>
      <w:r w:rsidR="00F468B9">
        <w:rPr>
          <w:lang w:eastAsia="en-AU" w:bidi="ar-SA"/>
        </w:rPr>
        <w:t>after 12 months</w:t>
      </w:r>
      <w:r w:rsidR="000E1612">
        <w:rPr>
          <w:lang w:eastAsia="en-AU" w:bidi="ar-SA"/>
        </w:rPr>
        <w:t xml:space="preserve"> (Bosso et al, 2015</w:t>
      </w:r>
      <w:r w:rsidR="00472BE4">
        <w:rPr>
          <w:lang w:eastAsia="en-AU" w:bidi="ar-SA"/>
        </w:rPr>
        <w:t>b</w:t>
      </w:r>
      <w:r w:rsidR="000E1612">
        <w:rPr>
          <w:lang w:eastAsia="en-AU" w:bidi="ar-SA"/>
        </w:rPr>
        <w:t>)</w:t>
      </w:r>
      <w:r w:rsidR="00F468B9">
        <w:rPr>
          <w:lang w:eastAsia="en-AU" w:bidi="ar-SA"/>
        </w:rPr>
        <w:t xml:space="preserve">. </w:t>
      </w:r>
    </w:p>
    <w:p w14:paraId="57BC5980" w14:textId="77777777" w:rsidR="00406C7E" w:rsidRDefault="00406C7E" w:rsidP="00406C7E">
      <w:pPr>
        <w:rPr>
          <w:lang w:eastAsia="en-AU" w:bidi="ar-SA"/>
        </w:rPr>
      </w:pPr>
    </w:p>
    <w:p w14:paraId="5E11C83E" w14:textId="3EFAC131" w:rsidR="00A906D9" w:rsidRDefault="00ED400F" w:rsidP="00406C7E">
      <w:pPr>
        <w:rPr>
          <w:lang w:eastAsia="en-AU" w:bidi="ar-SA"/>
        </w:rPr>
      </w:pPr>
      <w:r>
        <w:rPr>
          <w:lang w:eastAsia="en-AU" w:bidi="ar-SA"/>
        </w:rPr>
        <w:t xml:space="preserve">Further studies on tartaric acid stability showed that the addition of 100 mg/L potassium polyaspartate </w:t>
      </w:r>
      <w:r w:rsidR="00A67B51">
        <w:rPr>
          <w:lang w:eastAsia="en-AU" w:bidi="ar-SA"/>
        </w:rPr>
        <w:t xml:space="preserve">significantly </w:t>
      </w:r>
      <w:r>
        <w:rPr>
          <w:lang w:eastAsia="en-AU" w:bidi="ar-SA"/>
        </w:rPr>
        <w:t xml:space="preserve">improved </w:t>
      </w:r>
      <w:r w:rsidR="00A67B51">
        <w:rPr>
          <w:lang w:eastAsia="en-AU" w:bidi="ar-SA"/>
        </w:rPr>
        <w:t xml:space="preserve">the </w:t>
      </w:r>
      <w:r>
        <w:rPr>
          <w:lang w:eastAsia="en-AU" w:bidi="ar-SA"/>
        </w:rPr>
        <w:t xml:space="preserve">stability in red </w:t>
      </w:r>
      <w:r w:rsidR="00A906D9">
        <w:rPr>
          <w:lang w:eastAsia="en-AU" w:bidi="ar-SA"/>
        </w:rPr>
        <w:t xml:space="preserve">and white </w:t>
      </w:r>
      <w:r>
        <w:rPr>
          <w:lang w:eastAsia="en-AU" w:bidi="ar-SA"/>
        </w:rPr>
        <w:t>wine compared to a control of untreated wine and also metatartaric acid</w:t>
      </w:r>
      <w:r w:rsidR="00711DFC">
        <w:rPr>
          <w:lang w:eastAsia="en-AU" w:bidi="ar-SA"/>
        </w:rPr>
        <w:t>,</w:t>
      </w:r>
      <w:r w:rsidR="00A67B51">
        <w:rPr>
          <w:lang w:eastAsia="en-AU" w:bidi="ar-SA"/>
        </w:rPr>
        <w:t xml:space="preserve"> where stability of the wine was maintained only for a few months</w:t>
      </w:r>
      <w:r w:rsidR="00472BE4">
        <w:rPr>
          <w:lang w:eastAsia="en-AU" w:bidi="ar-SA"/>
        </w:rPr>
        <w:t xml:space="preserve"> (Bosso, 2015a)</w:t>
      </w:r>
      <w:r>
        <w:rPr>
          <w:lang w:eastAsia="en-AU" w:bidi="ar-SA"/>
        </w:rPr>
        <w:t>.</w:t>
      </w:r>
      <w:r w:rsidR="00A67B51">
        <w:rPr>
          <w:lang w:eastAsia="en-AU" w:bidi="ar-SA"/>
        </w:rPr>
        <w:t xml:space="preserve"> </w:t>
      </w:r>
      <w:r w:rsidR="00711DFC">
        <w:rPr>
          <w:lang w:eastAsia="en-AU" w:bidi="ar-SA"/>
        </w:rPr>
        <w:t xml:space="preserve">In </w:t>
      </w:r>
      <w:r w:rsidR="00F0098D">
        <w:rPr>
          <w:lang w:eastAsia="en-AU" w:bidi="ar-SA"/>
        </w:rPr>
        <w:t>the red wine study, the</w:t>
      </w:r>
      <w:r w:rsidR="00A67B51">
        <w:rPr>
          <w:lang w:eastAsia="en-AU" w:bidi="ar-SA"/>
        </w:rPr>
        <w:t xml:space="preserve"> amount of aspartic acid generated was close to the impurity </w:t>
      </w:r>
      <w:r w:rsidR="007041BF">
        <w:rPr>
          <w:lang w:eastAsia="en-AU" w:bidi="ar-SA"/>
        </w:rPr>
        <w:t xml:space="preserve">content </w:t>
      </w:r>
      <w:r w:rsidR="00A67B51">
        <w:rPr>
          <w:lang w:eastAsia="en-AU" w:bidi="ar-SA"/>
        </w:rPr>
        <w:t xml:space="preserve">of the </w:t>
      </w:r>
      <w:r w:rsidR="00711DFC">
        <w:rPr>
          <w:lang w:eastAsia="en-AU" w:bidi="ar-SA"/>
        </w:rPr>
        <w:t xml:space="preserve">commercial </w:t>
      </w:r>
      <w:r w:rsidR="00A67B51">
        <w:rPr>
          <w:lang w:eastAsia="en-AU" w:bidi="ar-SA"/>
        </w:rPr>
        <w:t xml:space="preserve">potassium polyaspartate </w:t>
      </w:r>
      <w:r w:rsidR="007041BF">
        <w:rPr>
          <w:lang w:eastAsia="en-AU" w:bidi="ar-SA"/>
        </w:rPr>
        <w:t>commercial</w:t>
      </w:r>
      <w:r w:rsidR="00711DFC">
        <w:rPr>
          <w:lang w:eastAsia="en-AU" w:bidi="ar-SA"/>
        </w:rPr>
        <w:t>,</w:t>
      </w:r>
      <w:r w:rsidR="007041BF">
        <w:rPr>
          <w:lang w:eastAsia="en-AU" w:bidi="ar-SA"/>
        </w:rPr>
        <w:t xml:space="preserve"> </w:t>
      </w:r>
      <w:r w:rsidR="00A67B51">
        <w:rPr>
          <w:lang w:eastAsia="en-AU" w:bidi="ar-SA"/>
        </w:rPr>
        <w:t xml:space="preserve">which is consistent with the stabilising effect </w:t>
      </w:r>
      <w:r w:rsidR="00F0098D">
        <w:rPr>
          <w:lang w:eastAsia="en-AU" w:bidi="ar-SA"/>
        </w:rPr>
        <w:t xml:space="preserve">shown by potassium polyaspartate </w:t>
      </w:r>
      <w:r w:rsidR="00A67B51">
        <w:rPr>
          <w:lang w:eastAsia="en-AU" w:bidi="ar-SA"/>
        </w:rPr>
        <w:t xml:space="preserve">over </w:t>
      </w:r>
      <w:r w:rsidR="00F0098D">
        <w:rPr>
          <w:lang w:eastAsia="en-AU" w:bidi="ar-SA"/>
        </w:rPr>
        <w:t>12 months</w:t>
      </w:r>
      <w:r w:rsidR="00472BE4">
        <w:rPr>
          <w:lang w:eastAsia="en-AU" w:bidi="ar-SA"/>
        </w:rPr>
        <w:t xml:space="preserve"> (Bosso, 2015a)</w:t>
      </w:r>
      <w:r w:rsidR="00A67B51">
        <w:rPr>
          <w:lang w:eastAsia="en-AU" w:bidi="ar-SA"/>
        </w:rPr>
        <w:t>.</w:t>
      </w:r>
    </w:p>
    <w:p w14:paraId="6DE88281" w14:textId="049F436E" w:rsidR="00034DE6" w:rsidRDefault="00034DE6" w:rsidP="00F230A5">
      <w:pPr>
        <w:pStyle w:val="Heading2"/>
      </w:pPr>
      <w:bookmarkStart w:id="61" w:name="_Toc521330347"/>
      <w:bookmarkStart w:id="62" w:name="_Toc522276770"/>
      <w:bookmarkStart w:id="63" w:name="_Toc522780497"/>
      <w:bookmarkStart w:id="64" w:name="_Toc524342538"/>
      <w:r>
        <w:t>2.</w:t>
      </w:r>
      <w:r w:rsidR="00F861F2">
        <w:t>9</w:t>
      </w:r>
      <w:r w:rsidR="004B6E3F">
        <w:t xml:space="preserve"> </w:t>
      </w:r>
      <w:r>
        <w:t xml:space="preserve">Food technology </w:t>
      </w:r>
      <w:bookmarkEnd w:id="61"/>
      <w:r>
        <w:t>conclusion</w:t>
      </w:r>
      <w:r w:rsidR="0072155D">
        <w:t>s</w:t>
      </w:r>
      <w:bookmarkEnd w:id="62"/>
      <w:bookmarkEnd w:id="63"/>
      <w:bookmarkEnd w:id="64"/>
    </w:p>
    <w:p w14:paraId="2FA4CB6C" w14:textId="4502E471" w:rsidR="007152F7" w:rsidRDefault="00781455" w:rsidP="00034DE6">
      <w:pPr>
        <w:rPr>
          <w:lang w:eastAsia="en-AU" w:bidi="ar-SA"/>
        </w:rPr>
      </w:pPr>
      <w:r>
        <w:t xml:space="preserve">FSANZ concludes that potassium polyaspartate, when used as a food additive to stabilise wine, is technologically justified in the quantity and form proposed. It appears to be </w:t>
      </w:r>
      <w:r w:rsidR="000E1612">
        <w:rPr>
          <w:lang w:eastAsia="en-AU" w:bidi="ar-SA"/>
        </w:rPr>
        <w:t>more effective</w:t>
      </w:r>
      <w:r w:rsidR="002B6F2B">
        <w:rPr>
          <w:lang w:eastAsia="en-AU" w:bidi="ar-SA"/>
        </w:rPr>
        <w:t xml:space="preserve"> than other </w:t>
      </w:r>
      <w:r w:rsidR="000D6D78">
        <w:rPr>
          <w:lang w:eastAsia="en-AU" w:bidi="ar-SA"/>
        </w:rPr>
        <w:t xml:space="preserve">permitted </w:t>
      </w:r>
      <w:r w:rsidR="002B6F2B">
        <w:rPr>
          <w:lang w:eastAsia="en-AU" w:bidi="ar-SA"/>
        </w:rPr>
        <w:t xml:space="preserve">food additives </w:t>
      </w:r>
      <w:r>
        <w:rPr>
          <w:lang w:eastAsia="en-AU" w:bidi="ar-SA"/>
        </w:rPr>
        <w:t xml:space="preserve">in </w:t>
      </w:r>
      <w:r w:rsidR="00A41E0E">
        <w:rPr>
          <w:lang w:eastAsia="en-AU" w:bidi="ar-SA"/>
        </w:rPr>
        <w:t>prevent</w:t>
      </w:r>
      <w:r>
        <w:rPr>
          <w:lang w:eastAsia="en-AU" w:bidi="ar-SA"/>
        </w:rPr>
        <w:t>ing</w:t>
      </w:r>
      <w:r w:rsidR="00A41E0E">
        <w:rPr>
          <w:lang w:eastAsia="en-AU" w:bidi="ar-SA"/>
        </w:rPr>
        <w:t xml:space="preserve"> </w:t>
      </w:r>
      <w:r w:rsidR="00E92A19">
        <w:rPr>
          <w:lang w:eastAsia="en-AU" w:bidi="ar-SA"/>
        </w:rPr>
        <w:t xml:space="preserve">the growth of </w:t>
      </w:r>
      <w:r w:rsidR="000D6D78">
        <w:rPr>
          <w:lang w:eastAsia="en-AU" w:bidi="ar-SA"/>
        </w:rPr>
        <w:t xml:space="preserve">potassium bitartrate </w:t>
      </w:r>
      <w:r w:rsidR="00E92A19">
        <w:rPr>
          <w:lang w:eastAsia="en-AU" w:bidi="ar-SA"/>
        </w:rPr>
        <w:t>crystals</w:t>
      </w:r>
      <w:r w:rsidR="00770E48">
        <w:rPr>
          <w:lang w:eastAsia="en-AU" w:bidi="ar-SA"/>
        </w:rPr>
        <w:t>.</w:t>
      </w:r>
      <w:r w:rsidR="00700B2D">
        <w:rPr>
          <w:lang w:eastAsia="en-AU" w:bidi="ar-SA"/>
        </w:rPr>
        <w:t xml:space="preserve"> </w:t>
      </w:r>
    </w:p>
    <w:p w14:paraId="0AA893DF" w14:textId="77777777" w:rsidR="007152F7" w:rsidRDefault="007152F7" w:rsidP="007152F7">
      <w:pPr>
        <w:rPr>
          <w:lang w:eastAsia="en-AU" w:bidi="ar-SA"/>
        </w:rPr>
      </w:pPr>
    </w:p>
    <w:p w14:paraId="34B5AFBC" w14:textId="08DDE565" w:rsidR="006F694F" w:rsidRDefault="006F694F" w:rsidP="007152F7">
      <w:pPr>
        <w:rPr>
          <w:lang w:eastAsia="en-AU" w:bidi="ar-SA"/>
        </w:rPr>
      </w:pPr>
      <w:r>
        <w:rPr>
          <w:lang w:eastAsia="en-AU" w:bidi="ar-SA"/>
        </w:rPr>
        <w:t>Potassium polyaspartate has a</w:t>
      </w:r>
      <w:r w:rsidR="00F876C5">
        <w:rPr>
          <w:lang w:eastAsia="en-AU" w:bidi="ar-SA"/>
        </w:rPr>
        <w:t>n acceptable international</w:t>
      </w:r>
      <w:r>
        <w:rPr>
          <w:lang w:eastAsia="en-AU" w:bidi="ar-SA"/>
        </w:rPr>
        <w:t xml:space="preserve"> specification in a secondary source, section S3-3(j) in the Code. </w:t>
      </w:r>
    </w:p>
    <w:p w14:paraId="2F6287D2" w14:textId="61FA5B38" w:rsidR="00AA5316" w:rsidRPr="00AA5316" w:rsidRDefault="00AA5316" w:rsidP="00AA5316">
      <w:pPr>
        <w:rPr>
          <w:lang w:eastAsia="en-AU" w:bidi="ar-SA"/>
        </w:rPr>
      </w:pPr>
    </w:p>
    <w:p w14:paraId="721A5DBE" w14:textId="0421A4D8" w:rsidR="00AA5316" w:rsidRPr="00F230A5" w:rsidRDefault="00D2676D" w:rsidP="00F861F2">
      <w:pPr>
        <w:pStyle w:val="Heading1"/>
      </w:pPr>
      <w:bookmarkStart w:id="65" w:name="_Toc521330348"/>
      <w:bookmarkStart w:id="66" w:name="_Toc522276771"/>
      <w:bookmarkStart w:id="67" w:name="_Toc522780498"/>
      <w:bookmarkStart w:id="68" w:name="_Toc524342539"/>
      <w:r>
        <w:t xml:space="preserve">3 </w:t>
      </w:r>
      <w:r w:rsidR="00043797">
        <w:t xml:space="preserve">Hazard </w:t>
      </w:r>
      <w:r>
        <w:t>assessment</w:t>
      </w:r>
      <w:bookmarkEnd w:id="65"/>
      <w:bookmarkEnd w:id="66"/>
      <w:bookmarkEnd w:id="67"/>
      <w:bookmarkEnd w:id="68"/>
    </w:p>
    <w:p w14:paraId="1D94D648" w14:textId="404A24AD" w:rsidR="00042C9B" w:rsidRDefault="00042C9B" w:rsidP="00F861F2">
      <w:pPr>
        <w:pStyle w:val="Heading2"/>
      </w:pPr>
      <w:bookmarkStart w:id="69" w:name="_Toc521330349"/>
      <w:bookmarkStart w:id="70" w:name="_Toc522276772"/>
      <w:bookmarkStart w:id="71" w:name="_Toc522780499"/>
      <w:bookmarkStart w:id="72" w:name="_Toc524342540"/>
      <w:r>
        <w:t>3.1</w:t>
      </w:r>
      <w:r w:rsidR="00CE2EBE">
        <w:t xml:space="preserve"> </w:t>
      </w:r>
      <w:r w:rsidR="008F215E">
        <w:t xml:space="preserve">Objectives for </w:t>
      </w:r>
      <w:r w:rsidR="00EE05FD">
        <w:t xml:space="preserve">the </w:t>
      </w:r>
      <w:r w:rsidR="00043797">
        <w:t xml:space="preserve">hazard </w:t>
      </w:r>
      <w:r>
        <w:t>assessment</w:t>
      </w:r>
      <w:bookmarkEnd w:id="69"/>
      <w:bookmarkEnd w:id="70"/>
      <w:bookmarkEnd w:id="71"/>
      <w:bookmarkEnd w:id="72"/>
    </w:p>
    <w:p w14:paraId="6482EA31" w14:textId="1A3BBCD7" w:rsidR="00104C11" w:rsidRDefault="00042C9B" w:rsidP="005664C3">
      <w:pPr>
        <w:rPr>
          <w:lang w:eastAsia="en-AU" w:bidi="ar-SA"/>
        </w:rPr>
      </w:pPr>
      <w:r>
        <w:rPr>
          <w:lang w:eastAsia="en-AU" w:bidi="ar-SA"/>
        </w:rPr>
        <w:t xml:space="preserve">FSANZ has not previously assessed potassium polyaspartate. </w:t>
      </w:r>
      <w:r w:rsidR="008F215E">
        <w:rPr>
          <w:lang w:eastAsia="en-AU" w:bidi="ar-SA"/>
        </w:rPr>
        <w:t xml:space="preserve">The objectives of this </w:t>
      </w:r>
      <w:r w:rsidR="00155684">
        <w:rPr>
          <w:lang w:eastAsia="en-AU" w:bidi="ar-SA"/>
        </w:rPr>
        <w:t xml:space="preserve">hazard </w:t>
      </w:r>
      <w:r>
        <w:rPr>
          <w:lang w:eastAsia="en-AU" w:bidi="ar-SA"/>
        </w:rPr>
        <w:t xml:space="preserve">assessment </w:t>
      </w:r>
      <w:r w:rsidR="008F215E">
        <w:rPr>
          <w:lang w:eastAsia="en-AU" w:bidi="ar-SA"/>
        </w:rPr>
        <w:t xml:space="preserve">are </w:t>
      </w:r>
      <w:r>
        <w:rPr>
          <w:lang w:eastAsia="en-AU" w:bidi="ar-SA"/>
        </w:rPr>
        <w:t>to</w:t>
      </w:r>
      <w:r w:rsidR="008F215E">
        <w:rPr>
          <w:lang w:eastAsia="en-AU" w:bidi="ar-SA"/>
        </w:rPr>
        <w:t xml:space="preserve"> </w:t>
      </w:r>
      <w:r w:rsidR="009A70B2">
        <w:rPr>
          <w:lang w:eastAsia="en-AU" w:bidi="ar-SA"/>
        </w:rPr>
        <w:t>assess any health risks</w:t>
      </w:r>
      <w:r w:rsidR="008F215E">
        <w:rPr>
          <w:lang w:eastAsia="en-AU" w:bidi="ar-SA"/>
        </w:rPr>
        <w:t xml:space="preserve"> that may arise from the use of this stabiliser in wine. Specifically by considering the following</w:t>
      </w:r>
      <w:r>
        <w:rPr>
          <w:lang w:eastAsia="en-AU" w:bidi="ar-SA"/>
        </w:rPr>
        <w:t>:</w:t>
      </w:r>
    </w:p>
    <w:p w14:paraId="4C2AF6AD" w14:textId="77777777" w:rsidR="007146C2" w:rsidRDefault="007146C2" w:rsidP="005664C3">
      <w:pPr>
        <w:rPr>
          <w:lang w:eastAsia="en-AU" w:bidi="ar-SA"/>
        </w:rPr>
      </w:pPr>
    </w:p>
    <w:p w14:paraId="31AFA5DB" w14:textId="7295BC9C" w:rsidR="00042C9B" w:rsidRDefault="008F215E" w:rsidP="00AA0B35">
      <w:pPr>
        <w:pStyle w:val="FSBullet1"/>
        <w:rPr>
          <w:lang w:eastAsia="en-AU"/>
        </w:rPr>
      </w:pPr>
      <w:r>
        <w:rPr>
          <w:lang w:eastAsia="en-AU"/>
        </w:rPr>
        <w:t>r</w:t>
      </w:r>
      <w:r w:rsidR="00042C9B">
        <w:rPr>
          <w:lang w:eastAsia="en-AU"/>
        </w:rPr>
        <w:t xml:space="preserve">eview all of the available data on the toxicology of potassium polyaspartate to determine its safety as a food additive </w:t>
      </w:r>
    </w:p>
    <w:p w14:paraId="248C6512" w14:textId="2448923F" w:rsidR="00536132" w:rsidRDefault="008F215E" w:rsidP="00AA0B35">
      <w:pPr>
        <w:pStyle w:val="FSBullet1"/>
        <w:rPr>
          <w:lang w:eastAsia="en-AU"/>
        </w:rPr>
      </w:pPr>
      <w:r>
        <w:rPr>
          <w:lang w:eastAsia="en-AU"/>
        </w:rPr>
        <w:t>i</w:t>
      </w:r>
      <w:r w:rsidR="00042C9B">
        <w:rPr>
          <w:lang w:eastAsia="en-AU"/>
        </w:rPr>
        <w:t>f appropriate, establish a health-based guidance value (HBGV) for potassium polyaspartate</w:t>
      </w:r>
      <w:r w:rsidR="00287540">
        <w:rPr>
          <w:lang w:eastAsia="en-AU"/>
        </w:rPr>
        <w:t>.</w:t>
      </w:r>
      <w:r w:rsidR="00536132">
        <w:rPr>
          <w:lang w:eastAsia="en-AU"/>
        </w:rPr>
        <w:t xml:space="preserve"> </w:t>
      </w:r>
    </w:p>
    <w:p w14:paraId="55AFE6E5" w14:textId="2C3E8221" w:rsidR="00AA0B35" w:rsidRDefault="00AA0B35" w:rsidP="00F861F2">
      <w:pPr>
        <w:pStyle w:val="Heading3"/>
      </w:pPr>
      <w:bookmarkStart w:id="73" w:name="_Toc522276773"/>
      <w:bookmarkStart w:id="74" w:name="_Toc522780500"/>
      <w:bookmarkStart w:id="75" w:name="_Toc524342541"/>
      <w:r>
        <w:t>3.1.</w:t>
      </w:r>
      <w:r w:rsidR="003562C5">
        <w:t xml:space="preserve">1 </w:t>
      </w:r>
      <w:r>
        <w:t>Evaluation of the submitted data</w:t>
      </w:r>
      <w:bookmarkEnd w:id="73"/>
      <w:bookmarkEnd w:id="74"/>
      <w:bookmarkEnd w:id="75"/>
    </w:p>
    <w:p w14:paraId="257FA167" w14:textId="21C1B777" w:rsidR="00AA0B35" w:rsidRPr="00AA0B35" w:rsidRDefault="00AA0B35" w:rsidP="00AA0B35">
      <w:pPr>
        <w:rPr>
          <w:lang w:eastAsia="en-AU" w:bidi="ar-SA"/>
        </w:rPr>
      </w:pPr>
      <w:r w:rsidRPr="00C33304">
        <w:t>FSANZ has assessed the submitted</w:t>
      </w:r>
      <w:r>
        <w:t xml:space="preserve"> evidence on the safety of potassium polyaspartate</w:t>
      </w:r>
      <w:r w:rsidRPr="007C5ED7">
        <w:t xml:space="preserve">, together with other </w:t>
      </w:r>
      <w:r w:rsidR="00EE05FD">
        <w:t xml:space="preserve">relevant information identified </w:t>
      </w:r>
      <w:r w:rsidR="002C3B62">
        <w:t>in a literature review.</w:t>
      </w:r>
      <w:r w:rsidRPr="007C5ED7">
        <w:t xml:space="preserve"> </w:t>
      </w:r>
      <w:r w:rsidR="002C3B62">
        <w:t>Submitted studies</w:t>
      </w:r>
      <w:r w:rsidRPr="00C33304">
        <w:t xml:space="preserve"> include</w:t>
      </w:r>
      <w:r w:rsidR="002C3B62">
        <w:t>d</w:t>
      </w:r>
      <w:r w:rsidRPr="00C33304">
        <w:t xml:space="preserve"> information on</w:t>
      </w:r>
      <w:r>
        <w:t xml:space="preserve"> </w:t>
      </w:r>
      <w:r w:rsidR="002D504E">
        <w:t xml:space="preserve">gastrointestinal digestibility and absorption </w:t>
      </w:r>
      <w:r w:rsidR="002D504E" w:rsidRPr="002D504E">
        <w:rPr>
          <w:i/>
        </w:rPr>
        <w:t>in vitro</w:t>
      </w:r>
      <w:r w:rsidR="002D504E">
        <w:t xml:space="preserve">, </w:t>
      </w:r>
      <w:r w:rsidR="001B33FF">
        <w:t xml:space="preserve">14-day and </w:t>
      </w:r>
      <w:r w:rsidR="002D504E">
        <w:t>90-day toxicit</w:t>
      </w:r>
      <w:r w:rsidR="001B33FF">
        <w:t>y studies</w:t>
      </w:r>
      <w:r w:rsidR="002D504E">
        <w:t xml:space="preserve"> in rats and </w:t>
      </w:r>
      <w:r w:rsidR="002D504E" w:rsidRPr="002D504E">
        <w:rPr>
          <w:i/>
        </w:rPr>
        <w:t>in vitro</w:t>
      </w:r>
      <w:r w:rsidR="002D504E">
        <w:t xml:space="preserve"> genotoxicity studies</w:t>
      </w:r>
      <w:r>
        <w:t>.</w:t>
      </w:r>
      <w:r w:rsidR="006A514F">
        <w:t xml:space="preserve"> </w:t>
      </w:r>
      <w:r w:rsidR="002E54B9">
        <w:t>The</w:t>
      </w:r>
      <w:r w:rsidR="00124B22">
        <w:t xml:space="preserve">se studies were </w:t>
      </w:r>
      <w:r w:rsidR="00124B22" w:rsidRPr="00124B22">
        <w:t>all conducted with a typical production batch of potassium polyaspartate</w:t>
      </w:r>
      <w:r w:rsidR="002E54B9">
        <w:t xml:space="preserve"> </w:t>
      </w:r>
      <w:r w:rsidR="007F7631">
        <w:t xml:space="preserve">and </w:t>
      </w:r>
      <w:r w:rsidR="002E54B9" w:rsidRPr="00844810">
        <w:t>are considered suitable</w:t>
      </w:r>
      <w:r w:rsidR="002E54B9">
        <w:t xml:space="preserve"> to </w:t>
      </w:r>
      <w:r w:rsidR="000517F5">
        <w:t xml:space="preserve">evaluate </w:t>
      </w:r>
      <w:r w:rsidR="002E54B9">
        <w:t xml:space="preserve">the hazard of </w:t>
      </w:r>
      <w:r w:rsidR="00124B22">
        <w:t>the substance</w:t>
      </w:r>
      <w:r w:rsidR="002E54B9">
        <w:t xml:space="preserve">. </w:t>
      </w:r>
    </w:p>
    <w:p w14:paraId="7BE55EFD" w14:textId="6062573B" w:rsidR="00D2676D" w:rsidRDefault="00D2676D" w:rsidP="00F861F2">
      <w:pPr>
        <w:pStyle w:val="Heading2"/>
      </w:pPr>
      <w:bookmarkStart w:id="76" w:name="_Toc521330350"/>
      <w:bookmarkStart w:id="77" w:name="_Toc522276774"/>
      <w:bookmarkStart w:id="78" w:name="_Toc522780501"/>
      <w:bookmarkStart w:id="79" w:name="_Toc524342542"/>
      <w:r w:rsidRPr="00042C9B">
        <w:t xml:space="preserve">3.2 </w:t>
      </w:r>
      <w:r w:rsidR="00236D78">
        <w:t>Toxicological data</w:t>
      </w:r>
      <w:bookmarkEnd w:id="76"/>
      <w:bookmarkEnd w:id="77"/>
      <w:bookmarkEnd w:id="78"/>
      <w:bookmarkEnd w:id="79"/>
    </w:p>
    <w:p w14:paraId="35195E11" w14:textId="36400643" w:rsidR="00236D78" w:rsidRDefault="00236D78" w:rsidP="00F861F2">
      <w:pPr>
        <w:pStyle w:val="Heading3"/>
      </w:pPr>
      <w:bookmarkStart w:id="80" w:name="_Toc522276775"/>
      <w:bookmarkStart w:id="81" w:name="_Toc522780502"/>
      <w:bookmarkStart w:id="82" w:name="_Toc524342543"/>
      <w:r>
        <w:t>3.2.1 Toxicokinetics and metabolism</w:t>
      </w:r>
      <w:bookmarkEnd w:id="80"/>
      <w:bookmarkEnd w:id="81"/>
      <w:bookmarkEnd w:id="82"/>
    </w:p>
    <w:p w14:paraId="513CFE2C" w14:textId="7FA78CB9" w:rsidR="00236D78" w:rsidRDefault="00386A48" w:rsidP="009449B9">
      <w:pPr>
        <w:pStyle w:val="Heading4"/>
      </w:pPr>
      <w:r>
        <w:t>In vitro g</w:t>
      </w:r>
      <w:r w:rsidR="007A342B">
        <w:t>astrointestinal digestibility</w:t>
      </w:r>
      <w:r w:rsidR="007B6FCE">
        <w:t xml:space="preserve"> and intestinal absorption studies</w:t>
      </w:r>
      <w:r w:rsidR="007A342B">
        <w:t xml:space="preserve"> (</w:t>
      </w:r>
      <w:r w:rsidR="007A342B" w:rsidRPr="00844810">
        <w:t>Restani 2015</w:t>
      </w:r>
      <w:r w:rsidR="007A342B">
        <w:t>) Regulatory status: Non-GLP</w:t>
      </w:r>
      <w:r w:rsidR="00B331DB">
        <w:t>; non-guideline</w:t>
      </w:r>
    </w:p>
    <w:p w14:paraId="092ECA0F" w14:textId="5A007EDD" w:rsidR="007B6FCE" w:rsidRPr="00C74BA1" w:rsidRDefault="007B6FCE" w:rsidP="009449B9">
      <w:pPr>
        <w:pStyle w:val="Heading5"/>
      </w:pPr>
      <w:r w:rsidRPr="007B6FCE">
        <w:rPr>
          <w:lang w:eastAsia="en-AU"/>
        </w:rPr>
        <w:t xml:space="preserve">Gastrointestinal digestibility </w:t>
      </w:r>
    </w:p>
    <w:p w14:paraId="6284E5F0" w14:textId="3A2FDE77" w:rsidR="007A342B" w:rsidRDefault="00C617CF" w:rsidP="00236D78">
      <w:pPr>
        <w:rPr>
          <w:lang w:eastAsia="en-AU" w:bidi="ar-SA"/>
        </w:rPr>
      </w:pPr>
      <w:r>
        <w:rPr>
          <w:lang w:eastAsia="en-AU" w:bidi="ar-SA"/>
        </w:rPr>
        <w:t>The gastrointestinal digestibility of p</w:t>
      </w:r>
      <w:r w:rsidR="007A342B">
        <w:rPr>
          <w:lang w:eastAsia="en-AU" w:bidi="ar-SA"/>
        </w:rPr>
        <w:t xml:space="preserve">otassium polyaspartate was </w:t>
      </w:r>
      <w:r>
        <w:rPr>
          <w:lang w:eastAsia="en-AU" w:bidi="ar-SA"/>
        </w:rPr>
        <w:t xml:space="preserve">assessed </w:t>
      </w:r>
      <w:r w:rsidRPr="00C617CF">
        <w:rPr>
          <w:i/>
          <w:lang w:eastAsia="en-AU" w:bidi="ar-SA"/>
        </w:rPr>
        <w:t>in vitro</w:t>
      </w:r>
      <w:r>
        <w:rPr>
          <w:lang w:eastAsia="en-AU" w:bidi="ar-SA"/>
        </w:rPr>
        <w:t>, using sequential incubation with gastric and pancreatic enzymes. Aliquots of potassium polyaspar</w:t>
      </w:r>
      <w:r w:rsidR="00266C4D">
        <w:rPr>
          <w:lang w:eastAsia="en-AU" w:bidi="ar-SA"/>
        </w:rPr>
        <w:t>ta</w:t>
      </w:r>
      <w:r>
        <w:rPr>
          <w:lang w:eastAsia="en-AU" w:bidi="ar-SA"/>
        </w:rPr>
        <w:t>te (Batch no. KHK-S040412-1</w:t>
      </w:r>
      <w:r w:rsidR="00F002F4">
        <w:rPr>
          <w:lang w:eastAsia="en-AU" w:bidi="ar-SA"/>
        </w:rPr>
        <w:t xml:space="preserve">; also referred to as </w:t>
      </w:r>
      <w:r w:rsidR="00F002F4" w:rsidRPr="00F002F4">
        <w:rPr>
          <w:lang w:eastAsia="en-AU" w:bidi="ar-SA"/>
        </w:rPr>
        <w:t>KHKS-040412</w:t>
      </w:r>
      <w:r w:rsidR="00F002F4">
        <w:rPr>
          <w:lang w:eastAsia="en-AU" w:bidi="ar-SA"/>
        </w:rPr>
        <w:t>; purity 99% w/w on dry matter</w:t>
      </w:r>
      <w:r>
        <w:rPr>
          <w:lang w:eastAsia="en-AU" w:bidi="ar-SA"/>
        </w:rPr>
        <w:t xml:space="preserve">) were suspended in </w:t>
      </w:r>
      <w:r w:rsidR="003A1C5A">
        <w:rPr>
          <w:lang w:eastAsia="en-AU" w:bidi="ar-SA"/>
        </w:rPr>
        <w:t xml:space="preserve">a 0.06 N HCl solution </w:t>
      </w:r>
      <w:r>
        <w:rPr>
          <w:lang w:eastAsia="en-AU" w:bidi="ar-SA"/>
        </w:rPr>
        <w:t>containing pepsin from porcine gastric mucosa</w:t>
      </w:r>
      <w:r w:rsidR="003A1C5A">
        <w:rPr>
          <w:lang w:eastAsia="en-AU" w:bidi="ar-SA"/>
        </w:rPr>
        <w:t xml:space="preserve"> at</w:t>
      </w:r>
      <w:r w:rsidR="001B33FF">
        <w:rPr>
          <w:lang w:eastAsia="en-AU" w:bidi="ar-SA"/>
        </w:rPr>
        <w:t xml:space="preserve"> a</w:t>
      </w:r>
      <w:r w:rsidR="003A1C5A">
        <w:rPr>
          <w:lang w:eastAsia="en-AU" w:bidi="ar-SA"/>
        </w:rPr>
        <w:t xml:space="preserve"> pH between 1.27 and 2.8</w:t>
      </w:r>
      <w:r>
        <w:rPr>
          <w:lang w:eastAsia="en-AU" w:bidi="ar-SA"/>
        </w:rPr>
        <w:t xml:space="preserve">. </w:t>
      </w:r>
      <w:r w:rsidR="000B47A2">
        <w:rPr>
          <w:lang w:eastAsia="en-AU" w:bidi="ar-SA"/>
        </w:rPr>
        <w:t>The final potassium polyaspartate concentration was 3 mg/mL and the enzyme:protein ratio was 1:60 (w/w). Samples were incubated for 5 minutes, 10 minutes or 2 hours at 37</w:t>
      </w:r>
      <w:r w:rsidR="000B47A2">
        <w:rPr>
          <w:rFonts w:cs="Arial"/>
          <w:lang w:eastAsia="en-AU" w:bidi="ar-SA"/>
        </w:rPr>
        <w:t>º</w:t>
      </w:r>
      <w:r w:rsidR="000B47A2">
        <w:rPr>
          <w:lang w:eastAsia="en-AU" w:bidi="ar-SA"/>
        </w:rPr>
        <w:t>C</w:t>
      </w:r>
      <w:r w:rsidR="001B33FF">
        <w:rPr>
          <w:lang w:eastAsia="en-AU" w:bidi="ar-SA"/>
        </w:rPr>
        <w:t>,</w:t>
      </w:r>
      <w:r w:rsidR="003A1C5A">
        <w:rPr>
          <w:lang w:eastAsia="en-AU" w:bidi="ar-SA"/>
        </w:rPr>
        <w:t xml:space="preserve"> and then either further digested with porcine pancreatin or </w:t>
      </w:r>
      <w:r w:rsidR="00F002F4">
        <w:rPr>
          <w:lang w:eastAsia="en-AU" w:bidi="ar-SA"/>
        </w:rPr>
        <w:t xml:space="preserve">evaluated for </w:t>
      </w:r>
      <w:r w:rsidR="003A1C5A">
        <w:rPr>
          <w:lang w:eastAsia="en-AU" w:bidi="ar-SA"/>
        </w:rPr>
        <w:t>proteolysis. For samples that underwent pancreatic digestion, a solution of borate buffer containing pancreatin was added and the pH was adjusted to 6.8. The final pancreatin:</w:t>
      </w:r>
      <w:r w:rsidR="00991783">
        <w:rPr>
          <w:lang w:eastAsia="en-AU" w:bidi="ar-SA"/>
        </w:rPr>
        <w:t xml:space="preserve">potassium polyaspartate ratio was 1:21 (w/w) and samples were incubated for 4 or 24 hours. </w:t>
      </w:r>
      <w:r w:rsidR="00011A6D">
        <w:rPr>
          <w:lang w:eastAsia="en-AU" w:bidi="ar-SA"/>
        </w:rPr>
        <w:t>At the end of the incubation with pepsin or with pepsin followed by pancreatin, samples were heated to 100</w:t>
      </w:r>
      <w:r w:rsidR="00011A6D">
        <w:rPr>
          <w:rFonts w:cs="Arial"/>
          <w:lang w:eastAsia="en-AU" w:bidi="ar-SA"/>
        </w:rPr>
        <w:t>º</w:t>
      </w:r>
      <w:r w:rsidR="00011A6D">
        <w:rPr>
          <w:lang w:eastAsia="en-AU" w:bidi="ar-SA"/>
        </w:rPr>
        <w:t>C to terminate the enzyme activity</w:t>
      </w:r>
      <w:r w:rsidR="00443840">
        <w:rPr>
          <w:lang w:eastAsia="en-AU" w:bidi="ar-SA"/>
        </w:rPr>
        <w:t>.</w:t>
      </w:r>
      <w:r w:rsidR="00504C8C">
        <w:rPr>
          <w:lang w:eastAsia="en-AU" w:bidi="ar-SA"/>
        </w:rPr>
        <w:t xml:space="preserve"> A ‘time 0’ sample was also prepared by mixing all reagents, substrates and enzymes and then terminating the enzyme activity immediately.</w:t>
      </w:r>
      <w:r w:rsidR="00443840">
        <w:rPr>
          <w:lang w:eastAsia="en-AU" w:bidi="ar-SA"/>
        </w:rPr>
        <w:t xml:space="preserve"> S</w:t>
      </w:r>
      <w:r w:rsidR="00011A6D">
        <w:rPr>
          <w:lang w:eastAsia="en-AU" w:bidi="ar-SA"/>
        </w:rPr>
        <w:t xml:space="preserve">amples were </w:t>
      </w:r>
      <w:r w:rsidR="00443840">
        <w:rPr>
          <w:lang w:eastAsia="en-AU" w:bidi="ar-SA"/>
        </w:rPr>
        <w:t xml:space="preserve">then </w:t>
      </w:r>
      <w:r w:rsidR="00011A6D">
        <w:rPr>
          <w:lang w:eastAsia="en-AU" w:bidi="ar-SA"/>
        </w:rPr>
        <w:t xml:space="preserve">analysed for undigested protein using the microbiuret method or for the release of </w:t>
      </w:r>
      <w:r w:rsidR="001B33FF">
        <w:rPr>
          <w:lang w:eastAsia="en-AU" w:bidi="ar-SA"/>
        </w:rPr>
        <w:t xml:space="preserve">free </w:t>
      </w:r>
      <w:r w:rsidR="00011A6D">
        <w:rPr>
          <w:lang w:eastAsia="en-AU" w:bidi="ar-SA"/>
        </w:rPr>
        <w:t>amino acids</w:t>
      </w:r>
      <w:r w:rsidR="001B33FF">
        <w:rPr>
          <w:lang w:eastAsia="en-AU" w:bidi="ar-SA"/>
        </w:rPr>
        <w:t xml:space="preserve"> (i.e. aspartic acid)</w:t>
      </w:r>
      <w:r w:rsidR="00011A6D">
        <w:rPr>
          <w:lang w:eastAsia="en-AU" w:bidi="ar-SA"/>
        </w:rPr>
        <w:t xml:space="preserve"> using the ninhydrin method. </w:t>
      </w:r>
      <w:r w:rsidR="00EC1137">
        <w:rPr>
          <w:lang w:eastAsia="en-AU" w:bidi="ar-SA"/>
        </w:rPr>
        <w:t xml:space="preserve">All assays were performed in triplicate. </w:t>
      </w:r>
    </w:p>
    <w:p w14:paraId="35D4C090" w14:textId="75F1EAF8" w:rsidR="00267AA0" w:rsidRPr="00267AA0" w:rsidRDefault="00734957" w:rsidP="00267AA0">
      <w:pPr>
        <w:widowControl/>
        <w:rPr>
          <w:rFonts w:eastAsiaTheme="minorHAnsi" w:cstheme="minorBidi"/>
          <w:b/>
          <w:i/>
          <w:szCs w:val="22"/>
          <w:lang w:bidi="ar-SA"/>
        </w:rPr>
      </w:pPr>
      <w:r>
        <w:rPr>
          <w:lang w:eastAsia="en-AU" w:bidi="ar-SA"/>
        </w:rPr>
        <w:t>Mean values of undigested protein and free amino acids</w:t>
      </w:r>
      <w:r w:rsidR="00ED3AF9">
        <w:rPr>
          <w:lang w:eastAsia="en-AU" w:bidi="ar-SA"/>
        </w:rPr>
        <w:t xml:space="preserve"> following the various incubation conditions were similar to those of untreated potassium polyaspartate samples (</w:t>
      </w:r>
      <w:r w:rsidR="00267AA0">
        <w:rPr>
          <w:lang w:eastAsia="en-AU" w:bidi="ar-SA"/>
        </w:rPr>
        <w:t xml:space="preserve">Table 2), indicating that gastric or gastric and pancreative digestion of potassium polyaspartate </w:t>
      </w:r>
      <w:r w:rsidR="00267AA0" w:rsidRPr="00267AA0">
        <w:rPr>
          <w:i/>
          <w:lang w:eastAsia="en-AU" w:bidi="ar-SA"/>
        </w:rPr>
        <w:t>in vitro</w:t>
      </w:r>
      <w:r w:rsidR="00267AA0">
        <w:rPr>
          <w:lang w:eastAsia="en-AU" w:bidi="ar-SA"/>
        </w:rPr>
        <w:t xml:space="preserve"> is minimal. Slight increases in the mean free aspartic acid content (less than 6%) were observed under some conditions. The authors stated that these differences were not statistically significant, although details of the statistical methods used were no</w:t>
      </w:r>
      <w:r w:rsidR="004F0232">
        <w:rPr>
          <w:lang w:eastAsia="en-AU" w:bidi="ar-SA"/>
        </w:rPr>
        <w:t>t</w:t>
      </w:r>
      <w:r w:rsidR="00267AA0">
        <w:rPr>
          <w:lang w:eastAsia="en-AU" w:bidi="ar-SA"/>
        </w:rPr>
        <w:t xml:space="preserve"> reported. </w:t>
      </w:r>
    </w:p>
    <w:p w14:paraId="1F4D7188" w14:textId="77777777" w:rsidR="00734957" w:rsidRPr="00267AA0" w:rsidRDefault="00734957" w:rsidP="00267AA0">
      <w:pPr>
        <w:widowControl/>
        <w:rPr>
          <w:rFonts w:eastAsiaTheme="minorHAnsi" w:cstheme="minorBidi"/>
          <w:b/>
          <w:i/>
          <w:szCs w:val="22"/>
          <w:lang w:bidi="ar-SA"/>
        </w:rPr>
      </w:pPr>
    </w:p>
    <w:p w14:paraId="3ED282E9" w14:textId="1151F409" w:rsidR="00734957" w:rsidRDefault="00734957" w:rsidP="00236D78">
      <w:pPr>
        <w:rPr>
          <w:lang w:eastAsia="en-AU" w:bidi="ar-SA"/>
        </w:rPr>
      </w:pPr>
    </w:p>
    <w:p w14:paraId="70EE7D4C" w14:textId="77777777" w:rsidR="0058366D" w:rsidRDefault="0058366D">
      <w:pPr>
        <w:widowControl/>
        <w:rPr>
          <w:rFonts w:eastAsiaTheme="minorHAnsi" w:cstheme="minorBidi"/>
          <w:b/>
          <w:i/>
          <w:szCs w:val="22"/>
          <w:lang w:bidi="ar-SA"/>
        </w:rPr>
      </w:pPr>
      <w:bookmarkStart w:id="83" w:name="_Ref521061176"/>
      <w:bookmarkStart w:id="84" w:name="_Ref518652646"/>
      <w:r>
        <w:br w:type="page"/>
      </w:r>
    </w:p>
    <w:p w14:paraId="0E87303E" w14:textId="0E162D4C" w:rsidR="00166821" w:rsidRPr="00F230A5" w:rsidRDefault="00431D19" w:rsidP="00F230A5">
      <w:pPr>
        <w:pStyle w:val="FSTableFigureHeading"/>
        <w:rPr>
          <w:b w:val="0"/>
        </w:rPr>
      </w:pPr>
      <w:r>
        <w:t xml:space="preserve">Table </w:t>
      </w:r>
      <w:r w:rsidR="00F668B7">
        <w:rPr>
          <w:noProof/>
        </w:rPr>
        <w:fldChar w:fldCharType="begin"/>
      </w:r>
      <w:r w:rsidR="00F668B7">
        <w:rPr>
          <w:noProof/>
        </w:rPr>
        <w:instrText xml:space="preserve"> SEQ Table \* ARABIC </w:instrText>
      </w:r>
      <w:r w:rsidR="00F668B7">
        <w:rPr>
          <w:noProof/>
        </w:rPr>
        <w:fldChar w:fldCharType="separate"/>
      </w:r>
      <w:r w:rsidR="00BB3A80">
        <w:rPr>
          <w:noProof/>
        </w:rPr>
        <w:t>2</w:t>
      </w:r>
      <w:r w:rsidR="00F668B7">
        <w:rPr>
          <w:noProof/>
        </w:rPr>
        <w:fldChar w:fldCharType="end"/>
      </w:r>
      <w:bookmarkEnd w:id="83"/>
      <w:bookmarkEnd w:id="84"/>
      <w:r w:rsidR="000B75ED">
        <w:t xml:space="preserve"> </w:t>
      </w:r>
      <w:r w:rsidR="00166821" w:rsidRPr="00F230A5">
        <w:rPr>
          <w:b w:val="0"/>
        </w:rPr>
        <w:t>Mean undigested protein and free amino acid content following incubation with pepsin or with pepsin and pancreatin</w:t>
      </w:r>
      <w:r w:rsidR="007A2857" w:rsidRPr="00F230A5">
        <w:rPr>
          <w:b w:val="0"/>
        </w:rPr>
        <w:t xml:space="preserve"> (Restani 2015)</w:t>
      </w:r>
    </w:p>
    <w:p w14:paraId="541492A7" w14:textId="77777777" w:rsidR="007A2857" w:rsidRPr="007A2857" w:rsidRDefault="007A2857" w:rsidP="007A2857"/>
    <w:tbl>
      <w:tblPr>
        <w:tblStyle w:val="TableGrid"/>
        <w:tblW w:w="0" w:type="auto"/>
        <w:tblLook w:val="04A0" w:firstRow="1" w:lastRow="0" w:firstColumn="1" w:lastColumn="0" w:noHBand="0" w:noVBand="1"/>
        <w:tblCaption w:val="Table 2 Mean undigested protein and free amino acid content following incubation with pepsin or with pepsin and pancreatin (from Restani 2015)"/>
        <w:tblDescription w:val="Mean undigested protein and free amino acid content following incubation with pepsin or with pepsin and pancreatin (from Restani 2015)"/>
      </w:tblPr>
      <w:tblGrid>
        <w:gridCol w:w="3020"/>
        <w:gridCol w:w="3020"/>
        <w:gridCol w:w="3020"/>
      </w:tblGrid>
      <w:tr w:rsidR="00734957" w14:paraId="5144E205" w14:textId="77777777" w:rsidTr="000B75ED">
        <w:trPr>
          <w:tblHeader/>
        </w:trPr>
        <w:tc>
          <w:tcPr>
            <w:tcW w:w="3020" w:type="dxa"/>
          </w:tcPr>
          <w:p w14:paraId="262AE02A" w14:textId="39EC0612" w:rsidR="00734957" w:rsidRDefault="00734957" w:rsidP="00EC1137">
            <w:pPr>
              <w:pStyle w:val="FSTableHeading"/>
              <w:rPr>
                <w:lang w:eastAsia="en-AU" w:bidi="ar-SA"/>
              </w:rPr>
            </w:pPr>
            <w:r>
              <w:rPr>
                <w:lang w:eastAsia="en-AU" w:bidi="ar-SA"/>
              </w:rPr>
              <w:t>Digestion time</w:t>
            </w:r>
          </w:p>
        </w:tc>
        <w:tc>
          <w:tcPr>
            <w:tcW w:w="3020" w:type="dxa"/>
          </w:tcPr>
          <w:p w14:paraId="55E66746" w14:textId="229F7B18" w:rsidR="00734957" w:rsidRDefault="00EC1137" w:rsidP="00EC1137">
            <w:pPr>
              <w:pStyle w:val="FSTableHeading"/>
              <w:rPr>
                <w:lang w:eastAsia="en-AU" w:bidi="ar-SA"/>
              </w:rPr>
            </w:pPr>
            <w:r>
              <w:rPr>
                <w:lang w:eastAsia="en-AU" w:bidi="ar-SA"/>
              </w:rPr>
              <w:t>Mean protein content (mg) ± SD*</w:t>
            </w:r>
          </w:p>
        </w:tc>
        <w:tc>
          <w:tcPr>
            <w:tcW w:w="3020" w:type="dxa"/>
          </w:tcPr>
          <w:p w14:paraId="0314D53B" w14:textId="51F2574B" w:rsidR="00734957" w:rsidRDefault="00EC1137" w:rsidP="00EC1137">
            <w:pPr>
              <w:pStyle w:val="FSTableHeading"/>
              <w:rPr>
                <w:lang w:eastAsia="en-AU" w:bidi="ar-SA"/>
              </w:rPr>
            </w:pPr>
            <w:r>
              <w:rPr>
                <w:lang w:eastAsia="en-AU" w:bidi="ar-SA"/>
              </w:rPr>
              <w:t>Mean free aspartic acid content (mg) ± SD*</w:t>
            </w:r>
          </w:p>
        </w:tc>
      </w:tr>
      <w:tr w:rsidR="00734957" w14:paraId="51A596A5" w14:textId="77777777" w:rsidTr="00734957">
        <w:tc>
          <w:tcPr>
            <w:tcW w:w="3020" w:type="dxa"/>
          </w:tcPr>
          <w:p w14:paraId="5A9FAC63" w14:textId="468FD44E" w:rsidR="00734957" w:rsidRDefault="00EC1137" w:rsidP="00166821">
            <w:pPr>
              <w:pStyle w:val="FSTableText"/>
              <w:rPr>
                <w:lang w:eastAsia="en-AU" w:bidi="ar-SA"/>
              </w:rPr>
            </w:pPr>
            <w:r>
              <w:rPr>
                <w:lang w:eastAsia="en-AU" w:bidi="ar-SA"/>
              </w:rPr>
              <w:t>0</w:t>
            </w:r>
          </w:p>
        </w:tc>
        <w:tc>
          <w:tcPr>
            <w:tcW w:w="3020" w:type="dxa"/>
          </w:tcPr>
          <w:p w14:paraId="3AA54940" w14:textId="4CED8529" w:rsidR="00734957" w:rsidRDefault="00166821" w:rsidP="00166821">
            <w:pPr>
              <w:pStyle w:val="FSTableText"/>
              <w:rPr>
                <w:lang w:eastAsia="en-AU" w:bidi="ar-SA"/>
              </w:rPr>
            </w:pPr>
            <w:r>
              <w:rPr>
                <w:lang w:eastAsia="en-AU" w:bidi="ar-SA"/>
              </w:rPr>
              <w:t>24.35 ± 0.88</w:t>
            </w:r>
          </w:p>
        </w:tc>
        <w:tc>
          <w:tcPr>
            <w:tcW w:w="3020" w:type="dxa"/>
          </w:tcPr>
          <w:p w14:paraId="71F7FCAE" w14:textId="3838D929" w:rsidR="00734957" w:rsidRDefault="00166821" w:rsidP="00166821">
            <w:pPr>
              <w:pStyle w:val="FSTableText"/>
              <w:rPr>
                <w:lang w:eastAsia="en-AU" w:bidi="ar-SA"/>
              </w:rPr>
            </w:pPr>
            <w:r>
              <w:rPr>
                <w:lang w:eastAsia="en-AU" w:bidi="ar-SA"/>
              </w:rPr>
              <w:t>0.908 ± 0.099</w:t>
            </w:r>
          </w:p>
        </w:tc>
      </w:tr>
      <w:tr w:rsidR="00734957" w14:paraId="7D054C77" w14:textId="77777777" w:rsidTr="00734957">
        <w:tc>
          <w:tcPr>
            <w:tcW w:w="3020" w:type="dxa"/>
          </w:tcPr>
          <w:p w14:paraId="58912676" w14:textId="4CC5041F" w:rsidR="00734957" w:rsidRDefault="00EC1137" w:rsidP="00166821">
            <w:pPr>
              <w:pStyle w:val="FSTableText"/>
              <w:rPr>
                <w:lang w:eastAsia="en-AU" w:bidi="ar-SA"/>
              </w:rPr>
            </w:pPr>
            <w:r>
              <w:rPr>
                <w:lang w:eastAsia="en-AU" w:bidi="ar-SA"/>
              </w:rPr>
              <w:t>5 m pepsin</w:t>
            </w:r>
          </w:p>
        </w:tc>
        <w:tc>
          <w:tcPr>
            <w:tcW w:w="3020" w:type="dxa"/>
          </w:tcPr>
          <w:p w14:paraId="537D53A2" w14:textId="1AB8BA08" w:rsidR="00734957" w:rsidRDefault="00166821" w:rsidP="00166821">
            <w:pPr>
              <w:pStyle w:val="FSTableText"/>
              <w:rPr>
                <w:lang w:eastAsia="en-AU" w:bidi="ar-SA"/>
              </w:rPr>
            </w:pPr>
            <w:r>
              <w:rPr>
                <w:lang w:eastAsia="en-AU" w:bidi="ar-SA"/>
              </w:rPr>
              <w:t>24.68 ± 2.30</w:t>
            </w:r>
          </w:p>
        </w:tc>
        <w:tc>
          <w:tcPr>
            <w:tcW w:w="3020" w:type="dxa"/>
          </w:tcPr>
          <w:p w14:paraId="09FE54BB" w14:textId="2CC652E7" w:rsidR="00734957" w:rsidRDefault="00166821" w:rsidP="00166821">
            <w:pPr>
              <w:pStyle w:val="FSTableText"/>
              <w:rPr>
                <w:lang w:eastAsia="en-AU" w:bidi="ar-SA"/>
              </w:rPr>
            </w:pPr>
            <w:r>
              <w:rPr>
                <w:lang w:eastAsia="en-AU" w:bidi="ar-SA"/>
              </w:rPr>
              <w:t>0.927 ± 0.112</w:t>
            </w:r>
          </w:p>
        </w:tc>
      </w:tr>
      <w:tr w:rsidR="00734957" w14:paraId="2980337B" w14:textId="77777777" w:rsidTr="00734957">
        <w:tc>
          <w:tcPr>
            <w:tcW w:w="3020" w:type="dxa"/>
          </w:tcPr>
          <w:p w14:paraId="4F537CD2" w14:textId="2838EE83" w:rsidR="00734957" w:rsidRDefault="00EC1137" w:rsidP="00166821">
            <w:pPr>
              <w:pStyle w:val="FSTableText"/>
              <w:rPr>
                <w:lang w:eastAsia="en-AU" w:bidi="ar-SA"/>
              </w:rPr>
            </w:pPr>
            <w:r>
              <w:rPr>
                <w:lang w:eastAsia="en-AU" w:bidi="ar-SA"/>
              </w:rPr>
              <w:t>10 m pepsin</w:t>
            </w:r>
          </w:p>
        </w:tc>
        <w:tc>
          <w:tcPr>
            <w:tcW w:w="3020" w:type="dxa"/>
          </w:tcPr>
          <w:p w14:paraId="50E86D6A" w14:textId="551EE337" w:rsidR="00734957" w:rsidRDefault="00166821" w:rsidP="00166821">
            <w:pPr>
              <w:pStyle w:val="FSTableText"/>
              <w:rPr>
                <w:lang w:eastAsia="en-AU" w:bidi="ar-SA"/>
              </w:rPr>
            </w:pPr>
            <w:r>
              <w:rPr>
                <w:lang w:eastAsia="en-AU" w:bidi="ar-SA"/>
              </w:rPr>
              <w:t>24.98 ± 0.58</w:t>
            </w:r>
          </w:p>
        </w:tc>
        <w:tc>
          <w:tcPr>
            <w:tcW w:w="3020" w:type="dxa"/>
          </w:tcPr>
          <w:p w14:paraId="7FBA4F46" w14:textId="6C7182F4" w:rsidR="00734957" w:rsidRDefault="00166821" w:rsidP="00166821">
            <w:pPr>
              <w:pStyle w:val="FSTableText"/>
              <w:rPr>
                <w:lang w:eastAsia="en-AU" w:bidi="ar-SA"/>
              </w:rPr>
            </w:pPr>
            <w:r>
              <w:rPr>
                <w:lang w:eastAsia="en-AU" w:bidi="ar-SA"/>
              </w:rPr>
              <w:t>0.946 ± 0.062</w:t>
            </w:r>
          </w:p>
        </w:tc>
      </w:tr>
      <w:tr w:rsidR="00734957" w14:paraId="29F9792F" w14:textId="77777777" w:rsidTr="00734957">
        <w:tc>
          <w:tcPr>
            <w:tcW w:w="3020" w:type="dxa"/>
          </w:tcPr>
          <w:p w14:paraId="3643C3AF" w14:textId="0FE19599" w:rsidR="00EC1137" w:rsidRDefault="00EC1137" w:rsidP="00166821">
            <w:pPr>
              <w:pStyle w:val="FSTableText"/>
              <w:rPr>
                <w:lang w:eastAsia="en-AU" w:bidi="ar-SA"/>
              </w:rPr>
            </w:pPr>
            <w:r>
              <w:rPr>
                <w:lang w:eastAsia="en-AU" w:bidi="ar-SA"/>
              </w:rPr>
              <w:t>2 h pepsin</w:t>
            </w:r>
          </w:p>
        </w:tc>
        <w:tc>
          <w:tcPr>
            <w:tcW w:w="3020" w:type="dxa"/>
          </w:tcPr>
          <w:p w14:paraId="60B6EDC9" w14:textId="6F22351A" w:rsidR="00734957" w:rsidRDefault="00166821" w:rsidP="00166821">
            <w:pPr>
              <w:pStyle w:val="FSTableText"/>
              <w:rPr>
                <w:lang w:eastAsia="en-AU" w:bidi="ar-SA"/>
              </w:rPr>
            </w:pPr>
            <w:r>
              <w:rPr>
                <w:lang w:eastAsia="en-AU" w:bidi="ar-SA"/>
              </w:rPr>
              <w:t>23.26 ± 0.62</w:t>
            </w:r>
          </w:p>
        </w:tc>
        <w:tc>
          <w:tcPr>
            <w:tcW w:w="3020" w:type="dxa"/>
          </w:tcPr>
          <w:p w14:paraId="64CD105C" w14:textId="0CD8273E" w:rsidR="00734957" w:rsidRDefault="00166821" w:rsidP="00166821">
            <w:pPr>
              <w:pStyle w:val="FSTableText"/>
              <w:rPr>
                <w:lang w:eastAsia="en-AU" w:bidi="ar-SA"/>
              </w:rPr>
            </w:pPr>
            <w:r>
              <w:rPr>
                <w:lang w:eastAsia="en-AU" w:bidi="ar-SA"/>
              </w:rPr>
              <w:t>0.943 ± 0.202</w:t>
            </w:r>
          </w:p>
        </w:tc>
      </w:tr>
      <w:tr w:rsidR="00734957" w14:paraId="1FDDD38D" w14:textId="77777777" w:rsidTr="00734957">
        <w:tc>
          <w:tcPr>
            <w:tcW w:w="3020" w:type="dxa"/>
          </w:tcPr>
          <w:p w14:paraId="62AAB8CB" w14:textId="35600A08" w:rsidR="00734957" w:rsidRDefault="00EC1137" w:rsidP="00166821">
            <w:pPr>
              <w:pStyle w:val="FSTableText"/>
              <w:rPr>
                <w:lang w:eastAsia="en-AU" w:bidi="ar-SA"/>
              </w:rPr>
            </w:pPr>
            <w:r>
              <w:rPr>
                <w:lang w:eastAsia="en-AU" w:bidi="ar-SA"/>
              </w:rPr>
              <w:t>2h pepsin; 4h pancreatin</w:t>
            </w:r>
          </w:p>
        </w:tc>
        <w:tc>
          <w:tcPr>
            <w:tcW w:w="3020" w:type="dxa"/>
          </w:tcPr>
          <w:p w14:paraId="4A8030D7" w14:textId="00714E8C" w:rsidR="00734957" w:rsidRDefault="00166821" w:rsidP="00166821">
            <w:pPr>
              <w:pStyle w:val="FSTableText"/>
              <w:rPr>
                <w:lang w:eastAsia="en-AU" w:bidi="ar-SA"/>
              </w:rPr>
            </w:pPr>
            <w:r>
              <w:rPr>
                <w:lang w:eastAsia="en-AU" w:bidi="ar-SA"/>
              </w:rPr>
              <w:t>24.09 ± 1.69</w:t>
            </w:r>
          </w:p>
        </w:tc>
        <w:tc>
          <w:tcPr>
            <w:tcW w:w="3020" w:type="dxa"/>
          </w:tcPr>
          <w:p w14:paraId="32DE93EE" w14:textId="4A1AC2C1" w:rsidR="00734957" w:rsidRDefault="00166821" w:rsidP="00166821">
            <w:pPr>
              <w:pStyle w:val="FSTableText"/>
              <w:rPr>
                <w:lang w:eastAsia="en-AU" w:bidi="ar-SA"/>
              </w:rPr>
            </w:pPr>
            <w:r>
              <w:rPr>
                <w:lang w:eastAsia="en-AU" w:bidi="ar-SA"/>
              </w:rPr>
              <w:t>0.855 ± 0.080</w:t>
            </w:r>
          </w:p>
        </w:tc>
      </w:tr>
      <w:tr w:rsidR="00734957" w14:paraId="0122B398" w14:textId="77777777" w:rsidTr="00734957">
        <w:tc>
          <w:tcPr>
            <w:tcW w:w="3020" w:type="dxa"/>
          </w:tcPr>
          <w:p w14:paraId="1C0983A5" w14:textId="4427858F" w:rsidR="00734957" w:rsidRDefault="00EC1137" w:rsidP="00166821">
            <w:pPr>
              <w:pStyle w:val="FSTableText"/>
              <w:rPr>
                <w:lang w:eastAsia="en-AU" w:bidi="ar-SA"/>
              </w:rPr>
            </w:pPr>
            <w:r>
              <w:rPr>
                <w:lang w:eastAsia="en-AU" w:bidi="ar-SA"/>
              </w:rPr>
              <w:t>2h pepsin; 24h pancreatin</w:t>
            </w:r>
          </w:p>
        </w:tc>
        <w:tc>
          <w:tcPr>
            <w:tcW w:w="3020" w:type="dxa"/>
          </w:tcPr>
          <w:p w14:paraId="340C05FE" w14:textId="7C9B4470" w:rsidR="00734957" w:rsidRDefault="00166821" w:rsidP="00166821">
            <w:pPr>
              <w:pStyle w:val="FSTableText"/>
              <w:rPr>
                <w:lang w:eastAsia="en-AU" w:bidi="ar-SA"/>
              </w:rPr>
            </w:pPr>
            <w:r>
              <w:rPr>
                <w:lang w:eastAsia="en-AU" w:bidi="ar-SA"/>
              </w:rPr>
              <w:t>25.37 ± 2.70</w:t>
            </w:r>
          </w:p>
        </w:tc>
        <w:tc>
          <w:tcPr>
            <w:tcW w:w="3020" w:type="dxa"/>
          </w:tcPr>
          <w:p w14:paraId="4C4EABD4" w14:textId="20BE1827" w:rsidR="00734957" w:rsidRDefault="00166821" w:rsidP="00166821">
            <w:pPr>
              <w:pStyle w:val="FSTableText"/>
              <w:rPr>
                <w:lang w:eastAsia="en-AU" w:bidi="ar-SA"/>
              </w:rPr>
            </w:pPr>
            <w:r>
              <w:rPr>
                <w:lang w:eastAsia="en-AU" w:bidi="ar-SA"/>
              </w:rPr>
              <w:t>0.956 ± 0.080</w:t>
            </w:r>
          </w:p>
        </w:tc>
      </w:tr>
    </w:tbl>
    <w:p w14:paraId="100BC401" w14:textId="77777777" w:rsidR="00734957" w:rsidRDefault="00734957" w:rsidP="00236D78">
      <w:pPr>
        <w:rPr>
          <w:lang w:eastAsia="en-AU" w:bidi="ar-SA"/>
        </w:rPr>
      </w:pPr>
    </w:p>
    <w:p w14:paraId="5AEB7162" w14:textId="2D79205C" w:rsidR="007A342B" w:rsidRDefault="00EC1137" w:rsidP="00236D78">
      <w:pPr>
        <w:rPr>
          <w:sz w:val="20"/>
          <w:lang w:eastAsia="en-AU" w:bidi="ar-SA"/>
        </w:rPr>
      </w:pPr>
      <w:r w:rsidRPr="00EC1137">
        <w:rPr>
          <w:sz w:val="20"/>
          <w:lang w:eastAsia="en-AU" w:bidi="ar-SA"/>
        </w:rPr>
        <w:t>SD: Standard Deviation</w:t>
      </w:r>
    </w:p>
    <w:p w14:paraId="1ADB3C5F" w14:textId="1B65A0A1" w:rsidR="00EC1137" w:rsidRPr="0039359D" w:rsidRDefault="00EC1137" w:rsidP="00EC1137">
      <w:pPr>
        <w:pStyle w:val="FSBullet1"/>
        <w:numPr>
          <w:ilvl w:val="0"/>
          <w:numId w:val="0"/>
        </w:numPr>
        <w:rPr>
          <w:sz w:val="20"/>
          <w:szCs w:val="20"/>
          <w:lang w:eastAsia="en-AU"/>
        </w:rPr>
      </w:pPr>
      <w:r w:rsidRPr="0039359D">
        <w:rPr>
          <w:sz w:val="20"/>
          <w:szCs w:val="20"/>
          <w:lang w:eastAsia="en-AU"/>
        </w:rPr>
        <w:t>* Mean of three samples</w:t>
      </w:r>
    </w:p>
    <w:p w14:paraId="59634441" w14:textId="77777777" w:rsidR="007B6FCE" w:rsidRDefault="007B6FCE" w:rsidP="007B6FCE">
      <w:pPr>
        <w:rPr>
          <w:lang w:eastAsia="en-AU"/>
        </w:rPr>
      </w:pPr>
    </w:p>
    <w:p w14:paraId="23570648" w14:textId="5DC1C64D" w:rsidR="00EC1137" w:rsidRPr="007B6FCE" w:rsidRDefault="007B6FCE" w:rsidP="009449B9">
      <w:pPr>
        <w:pStyle w:val="Heading5"/>
        <w:rPr>
          <w:lang w:eastAsia="en-AU"/>
        </w:rPr>
      </w:pPr>
      <w:r w:rsidRPr="007B6FCE">
        <w:rPr>
          <w:lang w:eastAsia="en-AU"/>
        </w:rPr>
        <w:t>Intestinal absorption</w:t>
      </w:r>
    </w:p>
    <w:p w14:paraId="00222E33" w14:textId="02018FB0" w:rsidR="001945CD" w:rsidRDefault="00FC45AC" w:rsidP="007B6FCE">
      <w:pPr>
        <w:rPr>
          <w:lang w:eastAsia="en-AU" w:bidi="ar-SA"/>
        </w:rPr>
      </w:pPr>
      <w:r>
        <w:rPr>
          <w:lang w:eastAsia="en-AU" w:bidi="ar-SA"/>
        </w:rPr>
        <w:t xml:space="preserve">Intestinal absorption of potassium polyaspartate (Batch no. KHK-S040412-1; also referred to as </w:t>
      </w:r>
      <w:r w:rsidRPr="00F002F4">
        <w:rPr>
          <w:lang w:eastAsia="en-AU" w:bidi="ar-SA"/>
        </w:rPr>
        <w:t>KHKS-040412</w:t>
      </w:r>
      <w:r>
        <w:rPr>
          <w:lang w:eastAsia="en-AU" w:bidi="ar-SA"/>
        </w:rPr>
        <w:t xml:space="preserve">; purity 99% w/w on dry matter) was investigated </w:t>
      </w:r>
      <w:r w:rsidRPr="00FC45AC">
        <w:rPr>
          <w:i/>
          <w:lang w:eastAsia="en-AU" w:bidi="ar-SA"/>
        </w:rPr>
        <w:t>in vitro</w:t>
      </w:r>
      <w:r>
        <w:rPr>
          <w:lang w:eastAsia="en-AU" w:bidi="ar-SA"/>
        </w:rPr>
        <w:t xml:space="preserve"> using human colon adenocarcinoma </w:t>
      </w:r>
      <w:r w:rsidR="000517F5">
        <w:rPr>
          <w:lang w:eastAsia="en-AU" w:bidi="ar-SA"/>
        </w:rPr>
        <w:t>Caco-2</w:t>
      </w:r>
      <w:r>
        <w:rPr>
          <w:lang w:eastAsia="en-AU" w:bidi="ar-SA"/>
        </w:rPr>
        <w:t xml:space="preserve"> cells</w:t>
      </w:r>
      <w:r w:rsidR="00766370">
        <w:rPr>
          <w:lang w:eastAsia="en-AU" w:bidi="ar-SA"/>
        </w:rPr>
        <w:t xml:space="preserve"> (Table 3)</w:t>
      </w:r>
      <w:r>
        <w:rPr>
          <w:lang w:eastAsia="en-AU" w:bidi="ar-SA"/>
        </w:rPr>
        <w:t>.</w:t>
      </w:r>
      <w:r w:rsidR="00E92707">
        <w:rPr>
          <w:lang w:eastAsia="en-AU" w:bidi="ar-SA"/>
        </w:rPr>
        <w:t xml:space="preserve"> </w:t>
      </w:r>
    </w:p>
    <w:p w14:paraId="245305D4" w14:textId="77777777" w:rsidR="001945CD" w:rsidRDefault="001945CD" w:rsidP="00236D78">
      <w:pPr>
        <w:rPr>
          <w:lang w:eastAsia="en-AU" w:bidi="ar-SA"/>
        </w:rPr>
      </w:pPr>
    </w:p>
    <w:p w14:paraId="70FE55EC" w14:textId="279B1587" w:rsidR="00386A48" w:rsidRDefault="00E92707" w:rsidP="00236D78">
      <w:pPr>
        <w:rPr>
          <w:lang w:eastAsia="en-AU" w:bidi="ar-SA"/>
        </w:rPr>
      </w:pPr>
      <w:r>
        <w:rPr>
          <w:lang w:eastAsia="en-AU" w:bidi="ar-SA"/>
        </w:rPr>
        <w:t xml:space="preserve">Before assessing absorption, the effect of potassium polyaspartate on the integrity of the intestinal membrane barrier was assessed by measuring trans-epithelial electrical resistance (TEER). </w:t>
      </w:r>
      <w:r w:rsidR="000517F5">
        <w:rPr>
          <w:lang w:eastAsia="en-AU" w:bidi="ar-SA"/>
        </w:rPr>
        <w:t>Caco-2</w:t>
      </w:r>
      <w:r w:rsidR="001945CD">
        <w:rPr>
          <w:lang w:eastAsia="en-AU" w:bidi="ar-SA"/>
        </w:rPr>
        <w:t xml:space="preserve"> cells were seeded in Transwell cell culture inserts and cultured for 18-22 days to allow the cells to differentiate into enterocytes and establish a barrier between the apical and basolateral compartments. Non-cytotoxic concentrations of undigested potassium polyaspartate (0.5 and 1 mg/mL</w:t>
      </w:r>
      <w:r w:rsidR="00CA0E3E">
        <w:rPr>
          <w:lang w:eastAsia="en-AU" w:bidi="ar-SA"/>
        </w:rPr>
        <w:t>; determined on the basis of a prior cell viability assay using MTT</w:t>
      </w:r>
      <w:r w:rsidR="001945CD">
        <w:rPr>
          <w:lang w:eastAsia="en-AU" w:bidi="ar-SA"/>
        </w:rPr>
        <w:t>)</w:t>
      </w:r>
      <w:r w:rsidR="007B6FCE">
        <w:rPr>
          <w:lang w:eastAsia="en-AU" w:bidi="ar-SA"/>
        </w:rPr>
        <w:t xml:space="preserve"> were added to the culture medium</w:t>
      </w:r>
      <w:r w:rsidR="001945CD">
        <w:rPr>
          <w:lang w:eastAsia="en-AU" w:bidi="ar-SA"/>
        </w:rPr>
        <w:t xml:space="preserve"> and TEER was measured at various time points up to 24 hours.</w:t>
      </w:r>
      <w:r w:rsidR="007B6FCE">
        <w:rPr>
          <w:lang w:eastAsia="en-AU" w:bidi="ar-SA"/>
        </w:rPr>
        <w:t xml:space="preserve"> Potassium polyaspartate samples obtained before and after incubation with pepsin for 2 hours and pancreatin for 24 hours, as described for the study on gastrointestinal digestibility, were also evaluated. </w:t>
      </w:r>
      <w:r w:rsidR="001945CD">
        <w:rPr>
          <w:lang w:eastAsia="en-AU" w:bidi="ar-SA"/>
        </w:rPr>
        <w:t xml:space="preserve">No effect of </w:t>
      </w:r>
      <w:r w:rsidR="007B6FCE">
        <w:rPr>
          <w:lang w:eastAsia="en-AU" w:bidi="ar-SA"/>
        </w:rPr>
        <w:t xml:space="preserve">undigested or digested </w:t>
      </w:r>
      <w:r w:rsidR="001945CD">
        <w:rPr>
          <w:lang w:eastAsia="en-AU" w:bidi="ar-SA"/>
        </w:rPr>
        <w:t>potassium polyaspartate on intestinal m</w:t>
      </w:r>
      <w:r w:rsidR="007B6FCE">
        <w:rPr>
          <w:lang w:eastAsia="en-AU" w:bidi="ar-SA"/>
        </w:rPr>
        <w:t>embrane integrity was observed whereas the positive control, ethanol</w:t>
      </w:r>
      <w:r w:rsidR="00636C1F">
        <w:rPr>
          <w:lang w:eastAsia="en-AU" w:bidi="ar-SA"/>
        </w:rPr>
        <w:t xml:space="preserve"> (20%)</w:t>
      </w:r>
      <w:r w:rsidR="007B6FCE">
        <w:rPr>
          <w:lang w:eastAsia="en-AU" w:bidi="ar-SA"/>
        </w:rPr>
        <w:t>, significant</w:t>
      </w:r>
      <w:r w:rsidR="00A1085C">
        <w:rPr>
          <w:lang w:eastAsia="en-AU" w:bidi="ar-SA"/>
        </w:rPr>
        <w:t>ly</w:t>
      </w:r>
      <w:r w:rsidR="007B6FCE">
        <w:rPr>
          <w:lang w:eastAsia="en-AU" w:bidi="ar-SA"/>
        </w:rPr>
        <w:t xml:space="preserve"> reduced membrane integrity. </w:t>
      </w:r>
    </w:p>
    <w:p w14:paraId="00B67B69" w14:textId="008DDF3D" w:rsidR="007B6FCE" w:rsidRDefault="007B6FCE" w:rsidP="00236D78">
      <w:pPr>
        <w:rPr>
          <w:lang w:eastAsia="en-AU" w:bidi="ar-SA"/>
        </w:rPr>
      </w:pPr>
    </w:p>
    <w:p w14:paraId="5DB9D95C" w14:textId="75855AB6" w:rsidR="007B6FCE" w:rsidRDefault="00A1085C" w:rsidP="00236D78">
      <w:pPr>
        <w:rPr>
          <w:lang w:eastAsia="en-AU" w:bidi="ar-SA"/>
        </w:rPr>
      </w:pPr>
      <w:r>
        <w:rPr>
          <w:lang w:eastAsia="en-AU" w:bidi="ar-SA"/>
        </w:rPr>
        <w:t>To assess absorption, samples of potassium polyaspartate before</w:t>
      </w:r>
      <w:r w:rsidR="00504C8C">
        <w:rPr>
          <w:lang w:eastAsia="en-AU" w:bidi="ar-SA"/>
        </w:rPr>
        <w:t xml:space="preserve"> (time 0)</w:t>
      </w:r>
      <w:r>
        <w:rPr>
          <w:lang w:eastAsia="en-AU" w:bidi="ar-SA"/>
        </w:rPr>
        <w:t xml:space="preserve"> and after digestion with pepsin (2 hours) and pancreatin (24 hours) were applied to differentiated </w:t>
      </w:r>
      <w:r w:rsidR="000517F5">
        <w:rPr>
          <w:lang w:eastAsia="en-AU" w:bidi="ar-SA"/>
        </w:rPr>
        <w:t>Caco-2</w:t>
      </w:r>
      <w:r>
        <w:rPr>
          <w:lang w:eastAsia="en-AU" w:bidi="ar-SA"/>
        </w:rPr>
        <w:t xml:space="preserve"> cells in the apical compartment of the cell culture inserts.</w:t>
      </w:r>
      <w:r w:rsidR="001D0640">
        <w:rPr>
          <w:lang w:eastAsia="en-AU" w:bidi="ar-SA"/>
        </w:rPr>
        <w:t xml:space="preserve"> Control samples of peptic digestion and peptic plus pancreatic digestion (without potassium polyaspartate) were also included.</w:t>
      </w:r>
      <w:r w:rsidR="00CA0E3E">
        <w:rPr>
          <w:lang w:eastAsia="en-AU" w:bidi="ar-SA"/>
        </w:rPr>
        <w:t xml:space="preserve"> Where necessary, the pH of the samples was adjusted to approximately 7 with 0.2 M NaOH to avoid cell toxicity.</w:t>
      </w:r>
      <w:r>
        <w:rPr>
          <w:lang w:eastAsia="en-AU" w:bidi="ar-SA"/>
        </w:rPr>
        <w:t xml:space="preserve"> Absorption </w:t>
      </w:r>
      <w:r w:rsidR="00027AB5">
        <w:rPr>
          <w:lang w:eastAsia="en-AU" w:bidi="ar-SA"/>
        </w:rPr>
        <w:t xml:space="preserve">through the </w:t>
      </w:r>
      <w:r w:rsidR="000517F5">
        <w:rPr>
          <w:lang w:eastAsia="en-AU" w:bidi="ar-SA"/>
        </w:rPr>
        <w:t>Caco-2</w:t>
      </w:r>
      <w:r>
        <w:rPr>
          <w:lang w:eastAsia="en-AU" w:bidi="ar-SA"/>
        </w:rPr>
        <w:t xml:space="preserve"> cell monolayer was measured in triplicate </w:t>
      </w:r>
      <w:r w:rsidR="00027AB5">
        <w:rPr>
          <w:lang w:eastAsia="en-AU" w:bidi="ar-SA"/>
        </w:rPr>
        <w:t xml:space="preserve">after incubation for 24 hours at 37 </w:t>
      </w:r>
      <w:r w:rsidR="00027AB5">
        <w:rPr>
          <w:rFonts w:cs="Arial"/>
          <w:lang w:eastAsia="en-AU" w:bidi="ar-SA"/>
        </w:rPr>
        <w:t>º</w:t>
      </w:r>
      <w:r w:rsidR="00504C8C">
        <w:rPr>
          <w:lang w:eastAsia="en-AU" w:bidi="ar-SA"/>
        </w:rPr>
        <w:t>C. Absorption</w:t>
      </w:r>
      <w:r w:rsidR="001D2725">
        <w:rPr>
          <w:lang w:eastAsia="en-AU" w:bidi="ar-SA"/>
        </w:rPr>
        <w:t xml:space="preserve"> of potassium polyaspartate</w:t>
      </w:r>
      <w:r w:rsidR="00504C8C">
        <w:rPr>
          <w:lang w:eastAsia="en-AU" w:bidi="ar-SA"/>
        </w:rPr>
        <w:t xml:space="preserve"> was assessed</w:t>
      </w:r>
      <w:r w:rsidR="009A77E8">
        <w:rPr>
          <w:lang w:eastAsia="en-AU" w:bidi="ar-SA"/>
        </w:rPr>
        <w:t xml:space="preserve"> by measuring protein/polypeptide concentrations in the apical and basolateral medium </w:t>
      </w:r>
      <w:r w:rsidR="00504C8C">
        <w:rPr>
          <w:lang w:eastAsia="en-AU" w:bidi="ar-SA"/>
        </w:rPr>
        <w:t>with</w:t>
      </w:r>
      <w:r w:rsidR="009A77E8">
        <w:rPr>
          <w:lang w:eastAsia="en-AU" w:bidi="ar-SA"/>
        </w:rPr>
        <w:t xml:space="preserve"> the microbiuret test, </w:t>
      </w:r>
      <w:r w:rsidR="00504C8C">
        <w:rPr>
          <w:lang w:eastAsia="en-AU" w:bidi="ar-SA"/>
        </w:rPr>
        <w:t>as well as</w:t>
      </w:r>
      <w:r w:rsidR="009A77E8">
        <w:rPr>
          <w:lang w:eastAsia="en-AU" w:bidi="ar-SA"/>
        </w:rPr>
        <w:t xml:space="preserve"> by measurement of aspartic acid concentrations using acid hydrolysis</w:t>
      </w:r>
      <w:r w:rsidR="001D2725">
        <w:rPr>
          <w:lang w:eastAsia="en-AU" w:bidi="ar-SA"/>
        </w:rPr>
        <w:t xml:space="preserve"> (to break down any potassium polyaspartate to aspartic acid)</w:t>
      </w:r>
      <w:r w:rsidR="009A77E8">
        <w:rPr>
          <w:lang w:eastAsia="en-AU" w:bidi="ar-SA"/>
        </w:rPr>
        <w:t xml:space="preserve"> followed by high performance liquid chromatography with fluorescence detection (HPLC-FLD). </w:t>
      </w:r>
    </w:p>
    <w:p w14:paraId="44EA1C66" w14:textId="65468519" w:rsidR="009A77E8" w:rsidRDefault="009A77E8" w:rsidP="00236D78">
      <w:pPr>
        <w:rPr>
          <w:lang w:eastAsia="en-AU" w:bidi="ar-SA"/>
        </w:rPr>
      </w:pPr>
    </w:p>
    <w:p w14:paraId="06312EB5" w14:textId="77777777" w:rsidR="00BB3A80" w:rsidRDefault="00F755C0" w:rsidP="00F230A5">
      <w:pPr>
        <w:pStyle w:val="FSTableFigureHeading"/>
      </w:pPr>
      <w:r>
        <w:rPr>
          <w:lang w:eastAsia="en-AU"/>
        </w:rPr>
        <w:t>Levels of polypeptides and total aspartic acid in the apical and basolateral culture medium samples are shown in</w:t>
      </w:r>
      <w:r w:rsidR="00AA55F4">
        <w:rPr>
          <w:lang w:eastAsia="en-AU"/>
        </w:rPr>
        <w:t xml:space="preserve"> </w:t>
      </w:r>
      <w:r w:rsidR="00AA55F4">
        <w:rPr>
          <w:lang w:eastAsia="en-AU"/>
        </w:rPr>
        <w:fldChar w:fldCharType="begin"/>
      </w:r>
      <w:r w:rsidR="00AA55F4">
        <w:rPr>
          <w:lang w:eastAsia="en-AU"/>
        </w:rPr>
        <w:instrText xml:space="preserve"> REF _Ref519169291 \h </w:instrText>
      </w:r>
      <w:r w:rsidR="00AA55F4">
        <w:rPr>
          <w:lang w:eastAsia="en-AU"/>
        </w:rPr>
      </w:r>
      <w:r w:rsidR="00AA55F4">
        <w:rPr>
          <w:lang w:eastAsia="en-AU"/>
        </w:rPr>
        <w:fldChar w:fldCharType="separate"/>
      </w:r>
    </w:p>
    <w:p w14:paraId="5D6D0F9C" w14:textId="5EE87450" w:rsidR="009A77E8" w:rsidRDefault="00BB3A80" w:rsidP="00236D78">
      <w:pPr>
        <w:rPr>
          <w:lang w:eastAsia="en-AU" w:bidi="ar-SA"/>
        </w:rPr>
      </w:pPr>
      <w:r>
        <w:t xml:space="preserve">Table </w:t>
      </w:r>
      <w:r>
        <w:rPr>
          <w:noProof/>
        </w:rPr>
        <w:t>3</w:t>
      </w:r>
      <w:r w:rsidR="00AA55F4">
        <w:rPr>
          <w:lang w:eastAsia="en-AU" w:bidi="ar-SA"/>
        </w:rPr>
        <w:fldChar w:fldCharType="end"/>
      </w:r>
      <w:r w:rsidR="00F755C0">
        <w:rPr>
          <w:lang w:eastAsia="en-AU" w:bidi="ar-SA"/>
        </w:rPr>
        <w:t xml:space="preserve">. </w:t>
      </w:r>
      <w:r w:rsidR="00EC7954">
        <w:rPr>
          <w:lang w:eastAsia="en-AU" w:bidi="ar-SA"/>
        </w:rPr>
        <w:t xml:space="preserve">Only very low or no polypeptides as measured by the microbiuret test were detected in the basolateral samples, while </w:t>
      </w:r>
      <w:r w:rsidR="001D2725">
        <w:rPr>
          <w:lang w:eastAsia="en-AU" w:bidi="ar-SA"/>
        </w:rPr>
        <w:t xml:space="preserve">potassium polyaspartate, measured as </w:t>
      </w:r>
      <w:r w:rsidR="00F755C0">
        <w:rPr>
          <w:lang w:eastAsia="en-AU" w:bidi="ar-SA"/>
        </w:rPr>
        <w:t>aspartic acid</w:t>
      </w:r>
      <w:r w:rsidR="001D2725">
        <w:rPr>
          <w:lang w:eastAsia="en-AU" w:bidi="ar-SA"/>
        </w:rPr>
        <w:t>,</w:t>
      </w:r>
      <w:r w:rsidR="00F755C0">
        <w:rPr>
          <w:lang w:eastAsia="en-AU" w:bidi="ar-SA"/>
        </w:rPr>
        <w:t xml:space="preserve"> </w:t>
      </w:r>
      <w:r w:rsidR="00EC7954">
        <w:rPr>
          <w:lang w:eastAsia="en-AU" w:bidi="ar-SA"/>
        </w:rPr>
        <w:t xml:space="preserve">was </w:t>
      </w:r>
      <w:r w:rsidR="00A4703F">
        <w:rPr>
          <w:lang w:eastAsia="en-AU" w:bidi="ar-SA"/>
        </w:rPr>
        <w:t>reported to be</w:t>
      </w:r>
      <w:r w:rsidR="00F755C0">
        <w:rPr>
          <w:lang w:eastAsia="en-AU" w:bidi="ar-SA"/>
        </w:rPr>
        <w:t xml:space="preserve"> below the limit of detection</w:t>
      </w:r>
      <w:r w:rsidR="00A4703F">
        <w:rPr>
          <w:lang w:eastAsia="en-AU" w:bidi="ar-SA"/>
        </w:rPr>
        <w:t xml:space="preserve"> </w:t>
      </w:r>
      <w:r w:rsidR="00E04B33">
        <w:rPr>
          <w:lang w:eastAsia="en-AU" w:bidi="ar-SA"/>
        </w:rPr>
        <w:t>of 0.</w:t>
      </w:r>
      <w:r w:rsidR="00EC7954">
        <w:rPr>
          <w:lang w:eastAsia="en-AU" w:bidi="ar-SA"/>
        </w:rPr>
        <w:t>000</w:t>
      </w:r>
      <w:r w:rsidR="00E04B33">
        <w:rPr>
          <w:lang w:eastAsia="en-AU" w:bidi="ar-SA"/>
        </w:rPr>
        <w:t>7 mg/</w:t>
      </w:r>
      <w:r w:rsidR="00EC7954">
        <w:rPr>
          <w:lang w:eastAsia="en-AU" w:bidi="ar-SA"/>
        </w:rPr>
        <w:t>m</w:t>
      </w:r>
      <w:r w:rsidR="00E04B33">
        <w:rPr>
          <w:lang w:eastAsia="en-AU" w:bidi="ar-SA"/>
        </w:rPr>
        <w:t>L</w:t>
      </w:r>
      <w:r w:rsidR="00F755C0">
        <w:rPr>
          <w:lang w:eastAsia="en-AU" w:bidi="ar-SA"/>
        </w:rPr>
        <w:t xml:space="preserve"> in the basolateral samples, indicating that no significant absorption took place. </w:t>
      </w:r>
    </w:p>
    <w:p w14:paraId="0E45E294" w14:textId="381D1BE5" w:rsidR="00F755C0" w:rsidRDefault="00F755C0" w:rsidP="00236D78">
      <w:pPr>
        <w:rPr>
          <w:lang w:eastAsia="en-AU" w:bidi="ar-SA"/>
        </w:rPr>
      </w:pPr>
    </w:p>
    <w:p w14:paraId="280903F7" w14:textId="77777777" w:rsidR="0058366D" w:rsidRDefault="0058366D" w:rsidP="00F230A5">
      <w:pPr>
        <w:pStyle w:val="FSTableFigureHeading"/>
      </w:pPr>
      <w:bookmarkStart w:id="85" w:name="_Ref519169291"/>
    </w:p>
    <w:p w14:paraId="6252D0F9" w14:textId="0E8809E0" w:rsidR="00AA55F4" w:rsidRPr="00F230A5" w:rsidRDefault="00AA55F4" w:rsidP="0058366D">
      <w:pPr>
        <w:pStyle w:val="FSTableFigureHeading"/>
        <w:ind w:left="0" w:firstLine="0"/>
        <w:rPr>
          <w:b w:val="0"/>
        </w:rPr>
      </w:pPr>
      <w:r>
        <w:t xml:space="preserve">Table </w:t>
      </w:r>
      <w:r w:rsidR="00F668B7">
        <w:rPr>
          <w:noProof/>
        </w:rPr>
        <w:fldChar w:fldCharType="begin"/>
      </w:r>
      <w:r w:rsidR="00F668B7">
        <w:rPr>
          <w:noProof/>
        </w:rPr>
        <w:instrText xml:space="preserve"> SEQ Table \* ARABIC </w:instrText>
      </w:r>
      <w:r w:rsidR="00F668B7">
        <w:rPr>
          <w:noProof/>
        </w:rPr>
        <w:fldChar w:fldCharType="separate"/>
      </w:r>
      <w:r w:rsidR="00BB3A80">
        <w:rPr>
          <w:noProof/>
        </w:rPr>
        <w:t>3</w:t>
      </w:r>
      <w:r w:rsidR="00F668B7">
        <w:rPr>
          <w:noProof/>
        </w:rPr>
        <w:fldChar w:fldCharType="end"/>
      </w:r>
      <w:bookmarkEnd w:id="85"/>
      <w:r>
        <w:t xml:space="preserve"> </w:t>
      </w:r>
      <w:r w:rsidRPr="00F230A5">
        <w:rPr>
          <w:b w:val="0"/>
        </w:rPr>
        <w:t xml:space="preserve">Quantification of potassium polyaspartate absorption through the </w:t>
      </w:r>
      <w:r w:rsidR="000517F5">
        <w:rPr>
          <w:b w:val="0"/>
        </w:rPr>
        <w:t>Caco-2</w:t>
      </w:r>
      <w:r w:rsidRPr="00F230A5">
        <w:rPr>
          <w:b w:val="0"/>
        </w:rPr>
        <w:t xml:space="preserve"> cell monolayer</w:t>
      </w:r>
      <w:r w:rsidR="007A2857" w:rsidRPr="00F230A5">
        <w:rPr>
          <w:b w:val="0"/>
        </w:rPr>
        <w:t xml:space="preserve"> (Restani 2015)</w:t>
      </w:r>
    </w:p>
    <w:p w14:paraId="5A1C4D08" w14:textId="77777777" w:rsidR="007A2857" w:rsidRPr="007A2857" w:rsidRDefault="007A2857" w:rsidP="00431D19">
      <w:pPr>
        <w:keepNext/>
        <w:keepLines/>
      </w:pPr>
    </w:p>
    <w:tbl>
      <w:tblPr>
        <w:tblStyle w:val="TableGrid"/>
        <w:tblW w:w="0" w:type="auto"/>
        <w:tblLook w:val="04A0" w:firstRow="1" w:lastRow="0" w:firstColumn="1" w:lastColumn="0" w:noHBand="0" w:noVBand="1"/>
        <w:tblCaption w:val="Table 2 Quantification of potassium polyaspartate absorption through the CaCo-2 cell monolayer (Restani 2015)"/>
        <w:tblDescription w:val="Quantification of potassium polyaspartate absorption through the CaCo-2 cell monolayer (Restani 2015)"/>
      </w:tblPr>
      <w:tblGrid>
        <w:gridCol w:w="1536"/>
        <w:gridCol w:w="1482"/>
        <w:gridCol w:w="1539"/>
        <w:gridCol w:w="1539"/>
        <w:gridCol w:w="1482"/>
        <w:gridCol w:w="1482"/>
      </w:tblGrid>
      <w:tr w:rsidR="00F755C0" w14:paraId="783D25C5" w14:textId="77777777" w:rsidTr="00F755C0">
        <w:tc>
          <w:tcPr>
            <w:tcW w:w="1537" w:type="dxa"/>
            <w:vMerge w:val="restart"/>
          </w:tcPr>
          <w:p w14:paraId="78A97F84" w14:textId="36DEA28C" w:rsidR="00F755C0" w:rsidRDefault="00F755C0" w:rsidP="00431D19">
            <w:pPr>
              <w:pStyle w:val="FSTableHeading"/>
              <w:keepNext/>
              <w:keepLines/>
              <w:rPr>
                <w:lang w:eastAsia="en-AU" w:bidi="ar-SA"/>
              </w:rPr>
            </w:pPr>
            <w:r>
              <w:rPr>
                <w:lang w:eastAsia="en-AU" w:bidi="ar-SA"/>
              </w:rPr>
              <w:t>Sample</w:t>
            </w:r>
          </w:p>
        </w:tc>
        <w:tc>
          <w:tcPr>
            <w:tcW w:w="1483" w:type="dxa"/>
            <w:vMerge w:val="restart"/>
          </w:tcPr>
          <w:p w14:paraId="198DEA2F" w14:textId="403A655B" w:rsidR="00F755C0" w:rsidRDefault="00F755C0" w:rsidP="00431D19">
            <w:pPr>
              <w:pStyle w:val="FSTableHeading"/>
              <w:keepNext/>
              <w:keepLines/>
              <w:rPr>
                <w:lang w:eastAsia="en-AU" w:bidi="ar-SA"/>
              </w:rPr>
            </w:pPr>
            <w:r>
              <w:rPr>
                <w:lang w:eastAsia="en-AU" w:bidi="ar-SA"/>
              </w:rPr>
              <w:t>Apical / Basolateral</w:t>
            </w:r>
          </w:p>
        </w:tc>
        <w:tc>
          <w:tcPr>
            <w:tcW w:w="4557" w:type="dxa"/>
            <w:gridSpan w:val="3"/>
          </w:tcPr>
          <w:p w14:paraId="194ED4AE" w14:textId="6364E4CD" w:rsidR="00F755C0" w:rsidRDefault="00F755C0" w:rsidP="00431D19">
            <w:pPr>
              <w:pStyle w:val="FSTableHeading"/>
              <w:keepNext/>
              <w:keepLines/>
              <w:rPr>
                <w:lang w:eastAsia="en-AU" w:bidi="ar-SA"/>
              </w:rPr>
            </w:pPr>
            <w:r>
              <w:rPr>
                <w:lang w:eastAsia="en-AU" w:bidi="ar-SA"/>
              </w:rPr>
              <w:t>Absorption measured by microBiuret method (peptides)</w:t>
            </w:r>
          </w:p>
        </w:tc>
        <w:tc>
          <w:tcPr>
            <w:tcW w:w="1483" w:type="dxa"/>
          </w:tcPr>
          <w:p w14:paraId="0041D2B5" w14:textId="5EF556A4" w:rsidR="00F755C0" w:rsidRDefault="00F755C0" w:rsidP="00431D19">
            <w:pPr>
              <w:pStyle w:val="FSTableHeading"/>
              <w:keepNext/>
              <w:keepLines/>
              <w:rPr>
                <w:lang w:eastAsia="en-AU" w:bidi="ar-SA"/>
              </w:rPr>
            </w:pPr>
            <w:r>
              <w:rPr>
                <w:lang w:eastAsia="en-AU" w:bidi="ar-SA"/>
              </w:rPr>
              <w:t>Absorption measured as aspartic acid (after acidic hydrolysis)</w:t>
            </w:r>
          </w:p>
        </w:tc>
      </w:tr>
      <w:tr w:rsidR="00F755C0" w14:paraId="63BE97EB" w14:textId="77777777" w:rsidTr="00AA55F4">
        <w:tc>
          <w:tcPr>
            <w:tcW w:w="1537" w:type="dxa"/>
            <w:vMerge/>
          </w:tcPr>
          <w:p w14:paraId="5CDEE35D" w14:textId="77777777" w:rsidR="00F755C0" w:rsidRDefault="00F755C0" w:rsidP="007325A9">
            <w:pPr>
              <w:pStyle w:val="FSTableHeading"/>
              <w:keepNext/>
              <w:keepLines/>
              <w:rPr>
                <w:lang w:eastAsia="en-AU" w:bidi="ar-SA"/>
              </w:rPr>
            </w:pPr>
          </w:p>
        </w:tc>
        <w:tc>
          <w:tcPr>
            <w:tcW w:w="1483" w:type="dxa"/>
            <w:vMerge/>
          </w:tcPr>
          <w:p w14:paraId="6DC5451E" w14:textId="27CD2EB5" w:rsidR="00F755C0" w:rsidRDefault="00F755C0" w:rsidP="007325A9">
            <w:pPr>
              <w:pStyle w:val="FSTableHeading"/>
              <w:keepNext/>
              <w:keepLines/>
              <w:rPr>
                <w:lang w:eastAsia="en-AU" w:bidi="ar-SA"/>
              </w:rPr>
            </w:pPr>
          </w:p>
        </w:tc>
        <w:tc>
          <w:tcPr>
            <w:tcW w:w="1537" w:type="dxa"/>
          </w:tcPr>
          <w:p w14:paraId="43F9840A" w14:textId="77E09382" w:rsidR="00F755C0" w:rsidRDefault="00F755C0" w:rsidP="007325A9">
            <w:pPr>
              <w:pStyle w:val="FSTableHeading"/>
              <w:keepNext/>
              <w:keepLines/>
              <w:rPr>
                <w:lang w:eastAsia="en-AU" w:bidi="ar-SA"/>
              </w:rPr>
            </w:pPr>
            <w:r>
              <w:rPr>
                <w:lang w:eastAsia="en-AU" w:bidi="ar-SA"/>
              </w:rPr>
              <w:t>Expected concentration (mg/mL)</w:t>
            </w:r>
            <w:r w:rsidR="00FD1C6A" w:rsidRPr="00FD1C6A">
              <w:rPr>
                <w:vertAlign w:val="superscript"/>
                <w:lang w:eastAsia="en-AU" w:bidi="ar-SA"/>
              </w:rPr>
              <w:t>#</w:t>
            </w:r>
          </w:p>
        </w:tc>
        <w:tc>
          <w:tcPr>
            <w:tcW w:w="1537" w:type="dxa"/>
          </w:tcPr>
          <w:p w14:paraId="564B3C16" w14:textId="1045B79B" w:rsidR="00F755C0" w:rsidRDefault="00F755C0" w:rsidP="007325A9">
            <w:pPr>
              <w:pStyle w:val="FSTableHeading"/>
              <w:keepNext/>
              <w:keepLines/>
              <w:rPr>
                <w:lang w:eastAsia="en-AU" w:bidi="ar-SA"/>
              </w:rPr>
            </w:pPr>
            <w:r>
              <w:rPr>
                <w:lang w:eastAsia="en-AU" w:bidi="ar-SA"/>
              </w:rPr>
              <w:t>Determined concentration (mg/mL; mean ± SD)</w:t>
            </w:r>
          </w:p>
        </w:tc>
        <w:tc>
          <w:tcPr>
            <w:tcW w:w="1483" w:type="dxa"/>
          </w:tcPr>
          <w:p w14:paraId="1F4D0AA3" w14:textId="43BE81E9" w:rsidR="00F755C0" w:rsidRDefault="00F755C0" w:rsidP="007325A9">
            <w:pPr>
              <w:pStyle w:val="FSTableHeading"/>
              <w:keepNext/>
              <w:keepLines/>
              <w:rPr>
                <w:lang w:eastAsia="en-AU" w:bidi="ar-SA"/>
              </w:rPr>
            </w:pPr>
            <w:r>
              <w:rPr>
                <w:lang w:eastAsia="en-AU" w:bidi="ar-SA"/>
              </w:rPr>
              <w:t>Distribution (%; mean ± SD)</w:t>
            </w:r>
          </w:p>
        </w:tc>
        <w:tc>
          <w:tcPr>
            <w:tcW w:w="1483" w:type="dxa"/>
          </w:tcPr>
          <w:p w14:paraId="699DBF3E" w14:textId="3B034EB8" w:rsidR="00F755C0" w:rsidRDefault="00F755C0" w:rsidP="007325A9">
            <w:pPr>
              <w:pStyle w:val="FSTableHeading"/>
              <w:keepNext/>
              <w:keepLines/>
              <w:rPr>
                <w:lang w:eastAsia="en-AU" w:bidi="ar-SA"/>
              </w:rPr>
            </w:pPr>
            <w:r>
              <w:rPr>
                <w:lang w:eastAsia="en-AU" w:bidi="ar-SA"/>
              </w:rPr>
              <w:t>Distribution (%; mean ± SD)</w:t>
            </w:r>
          </w:p>
        </w:tc>
      </w:tr>
      <w:tr w:rsidR="00F755C0" w14:paraId="345F430B" w14:textId="77777777" w:rsidTr="00AA55F4">
        <w:tc>
          <w:tcPr>
            <w:tcW w:w="1537" w:type="dxa"/>
          </w:tcPr>
          <w:p w14:paraId="21D70FE1" w14:textId="68F8F91E" w:rsidR="00F755C0" w:rsidRDefault="00F755C0" w:rsidP="00431D19">
            <w:pPr>
              <w:pStyle w:val="FSTableText"/>
              <w:keepNext/>
              <w:keepLines/>
              <w:rPr>
                <w:lang w:eastAsia="en-AU" w:bidi="ar-SA"/>
              </w:rPr>
            </w:pPr>
            <w:r>
              <w:rPr>
                <w:lang w:eastAsia="en-AU" w:bidi="ar-SA"/>
              </w:rPr>
              <w:t>Potassium polyaspartate</w:t>
            </w:r>
            <w:r w:rsidR="00316C32">
              <w:rPr>
                <w:lang w:eastAsia="en-AU" w:bidi="ar-SA"/>
              </w:rPr>
              <w:t xml:space="preserve"> (test solution)</w:t>
            </w:r>
          </w:p>
        </w:tc>
        <w:tc>
          <w:tcPr>
            <w:tcW w:w="1483" w:type="dxa"/>
          </w:tcPr>
          <w:p w14:paraId="5288E7BB" w14:textId="10429920" w:rsidR="00F755C0" w:rsidRDefault="00B860BF" w:rsidP="00B860BF">
            <w:pPr>
              <w:pStyle w:val="FSTableText"/>
              <w:keepNext/>
              <w:keepLines/>
              <w:rPr>
                <w:lang w:eastAsia="en-AU" w:bidi="ar-SA"/>
              </w:rPr>
            </w:pPr>
            <w:r>
              <w:rPr>
                <w:lang w:eastAsia="en-AU" w:bidi="ar-SA"/>
              </w:rPr>
              <w:t>Potassium polyaspartate suspended in medium</w:t>
            </w:r>
          </w:p>
        </w:tc>
        <w:tc>
          <w:tcPr>
            <w:tcW w:w="1537" w:type="dxa"/>
          </w:tcPr>
          <w:p w14:paraId="692EC53A" w14:textId="1B1E3FBF" w:rsidR="00F755C0" w:rsidRDefault="00AA55F4" w:rsidP="00431D19">
            <w:pPr>
              <w:pStyle w:val="FSTableText"/>
              <w:keepNext/>
              <w:keepLines/>
              <w:rPr>
                <w:lang w:eastAsia="en-AU" w:bidi="ar-SA"/>
              </w:rPr>
            </w:pPr>
            <w:r>
              <w:rPr>
                <w:lang w:eastAsia="en-AU" w:bidi="ar-SA"/>
              </w:rPr>
              <w:t>1</w:t>
            </w:r>
          </w:p>
        </w:tc>
        <w:tc>
          <w:tcPr>
            <w:tcW w:w="1537" w:type="dxa"/>
          </w:tcPr>
          <w:p w14:paraId="4251292C" w14:textId="5FAF905F" w:rsidR="00F755C0" w:rsidRDefault="00AA55F4" w:rsidP="00431D19">
            <w:pPr>
              <w:pStyle w:val="FSTableText"/>
              <w:keepNext/>
              <w:keepLines/>
              <w:rPr>
                <w:lang w:eastAsia="en-AU" w:bidi="ar-SA"/>
              </w:rPr>
            </w:pPr>
            <w:r>
              <w:rPr>
                <w:lang w:eastAsia="en-AU" w:bidi="ar-SA"/>
              </w:rPr>
              <w:t>1.237 ± 0.29</w:t>
            </w:r>
          </w:p>
        </w:tc>
        <w:tc>
          <w:tcPr>
            <w:tcW w:w="1483" w:type="dxa"/>
          </w:tcPr>
          <w:p w14:paraId="3EA5546D" w14:textId="1B92C05A" w:rsidR="00F755C0" w:rsidRDefault="00316C32" w:rsidP="00431D19">
            <w:pPr>
              <w:pStyle w:val="FSTableText"/>
              <w:keepNext/>
              <w:keepLines/>
              <w:rPr>
                <w:lang w:eastAsia="en-AU" w:bidi="ar-SA"/>
              </w:rPr>
            </w:pPr>
            <w:r>
              <w:rPr>
                <w:lang w:eastAsia="en-AU" w:bidi="ar-SA"/>
              </w:rPr>
              <w:t>Not reported</w:t>
            </w:r>
          </w:p>
        </w:tc>
        <w:tc>
          <w:tcPr>
            <w:tcW w:w="1483" w:type="dxa"/>
          </w:tcPr>
          <w:p w14:paraId="67A4B276" w14:textId="74F84D03" w:rsidR="00F755C0" w:rsidRDefault="00FD1C6A" w:rsidP="00431D19">
            <w:pPr>
              <w:pStyle w:val="FSTableText"/>
              <w:keepNext/>
              <w:keepLines/>
              <w:rPr>
                <w:lang w:eastAsia="en-AU" w:bidi="ar-SA"/>
              </w:rPr>
            </w:pPr>
            <w:r>
              <w:rPr>
                <w:lang w:eastAsia="en-AU" w:bidi="ar-SA"/>
              </w:rPr>
              <w:t>Not reported</w:t>
            </w:r>
          </w:p>
        </w:tc>
      </w:tr>
      <w:tr w:rsidR="00F755C0" w14:paraId="07B24ECC" w14:textId="77777777" w:rsidTr="00AA55F4">
        <w:tc>
          <w:tcPr>
            <w:tcW w:w="1537" w:type="dxa"/>
          </w:tcPr>
          <w:p w14:paraId="459BBF3C" w14:textId="0248974D" w:rsidR="00F755C0" w:rsidRDefault="00F755C0" w:rsidP="00431D19">
            <w:pPr>
              <w:pStyle w:val="FSTableText"/>
              <w:keepNext/>
              <w:keepLines/>
              <w:rPr>
                <w:lang w:eastAsia="en-AU" w:bidi="ar-SA"/>
              </w:rPr>
            </w:pPr>
            <w:r>
              <w:rPr>
                <w:lang w:eastAsia="en-AU" w:bidi="ar-SA"/>
              </w:rPr>
              <w:t>Time 0</w:t>
            </w:r>
          </w:p>
        </w:tc>
        <w:tc>
          <w:tcPr>
            <w:tcW w:w="1483" w:type="dxa"/>
          </w:tcPr>
          <w:p w14:paraId="03042A28" w14:textId="44A7AB7A" w:rsidR="00F755C0" w:rsidRDefault="00F755C0" w:rsidP="00431D19">
            <w:pPr>
              <w:pStyle w:val="FSTableText"/>
              <w:keepNext/>
              <w:keepLines/>
              <w:rPr>
                <w:lang w:eastAsia="en-AU" w:bidi="ar-SA"/>
              </w:rPr>
            </w:pPr>
            <w:r>
              <w:rPr>
                <w:lang w:eastAsia="en-AU" w:bidi="ar-SA"/>
              </w:rPr>
              <w:t>Apical</w:t>
            </w:r>
          </w:p>
        </w:tc>
        <w:tc>
          <w:tcPr>
            <w:tcW w:w="1537" w:type="dxa"/>
          </w:tcPr>
          <w:p w14:paraId="51D1ED56" w14:textId="7B296618" w:rsidR="00F755C0" w:rsidRDefault="00AA55F4" w:rsidP="00431D19">
            <w:pPr>
              <w:pStyle w:val="FSTableText"/>
              <w:keepNext/>
              <w:keepLines/>
              <w:rPr>
                <w:lang w:eastAsia="en-AU" w:bidi="ar-SA"/>
              </w:rPr>
            </w:pPr>
            <w:r>
              <w:rPr>
                <w:lang w:eastAsia="en-AU" w:bidi="ar-SA"/>
              </w:rPr>
              <w:t xml:space="preserve">2.4 </w:t>
            </w:r>
          </w:p>
        </w:tc>
        <w:tc>
          <w:tcPr>
            <w:tcW w:w="1537" w:type="dxa"/>
          </w:tcPr>
          <w:p w14:paraId="7D8AEDE8" w14:textId="4D5A5DDD" w:rsidR="00F755C0" w:rsidRDefault="00AA55F4" w:rsidP="00431D19">
            <w:pPr>
              <w:pStyle w:val="FSTableText"/>
              <w:keepNext/>
              <w:keepLines/>
              <w:rPr>
                <w:lang w:eastAsia="en-AU" w:bidi="ar-SA"/>
              </w:rPr>
            </w:pPr>
            <w:r>
              <w:rPr>
                <w:lang w:eastAsia="en-AU" w:bidi="ar-SA"/>
              </w:rPr>
              <w:t>2.03 ± 0.63</w:t>
            </w:r>
          </w:p>
        </w:tc>
        <w:tc>
          <w:tcPr>
            <w:tcW w:w="1483" w:type="dxa"/>
          </w:tcPr>
          <w:p w14:paraId="55D5E32D" w14:textId="38FC91F8" w:rsidR="00F755C0" w:rsidRDefault="00AA55F4" w:rsidP="00431D19">
            <w:pPr>
              <w:pStyle w:val="FSTableText"/>
              <w:keepNext/>
              <w:keepLines/>
              <w:rPr>
                <w:lang w:eastAsia="en-AU" w:bidi="ar-SA"/>
              </w:rPr>
            </w:pPr>
            <w:r>
              <w:rPr>
                <w:lang w:eastAsia="en-AU" w:bidi="ar-SA"/>
              </w:rPr>
              <w:t>100.0 ± 31.0</w:t>
            </w:r>
          </w:p>
        </w:tc>
        <w:tc>
          <w:tcPr>
            <w:tcW w:w="1483" w:type="dxa"/>
          </w:tcPr>
          <w:p w14:paraId="097925F8" w14:textId="26585B03" w:rsidR="00F755C0" w:rsidRDefault="00AA55F4" w:rsidP="00431D19">
            <w:pPr>
              <w:pStyle w:val="FSTableText"/>
              <w:keepNext/>
              <w:keepLines/>
              <w:rPr>
                <w:lang w:eastAsia="en-AU" w:bidi="ar-SA"/>
              </w:rPr>
            </w:pPr>
            <w:r>
              <w:rPr>
                <w:lang w:eastAsia="en-AU" w:bidi="ar-SA"/>
              </w:rPr>
              <w:t>100 ± 13.7</w:t>
            </w:r>
          </w:p>
        </w:tc>
      </w:tr>
      <w:tr w:rsidR="00F755C0" w14:paraId="6A8B87EE" w14:textId="77777777" w:rsidTr="00AA55F4">
        <w:tc>
          <w:tcPr>
            <w:tcW w:w="1537" w:type="dxa"/>
          </w:tcPr>
          <w:p w14:paraId="5E85A852" w14:textId="68E00313" w:rsidR="00F755C0" w:rsidRDefault="00F755C0" w:rsidP="00431D19">
            <w:pPr>
              <w:pStyle w:val="FSTableText"/>
              <w:keepNext/>
              <w:keepLines/>
              <w:rPr>
                <w:lang w:eastAsia="en-AU" w:bidi="ar-SA"/>
              </w:rPr>
            </w:pPr>
            <w:r>
              <w:rPr>
                <w:lang w:eastAsia="en-AU" w:bidi="ar-SA"/>
              </w:rPr>
              <w:t>Time 2 h (pepsin) + 24 h (pancreatin)</w:t>
            </w:r>
          </w:p>
        </w:tc>
        <w:tc>
          <w:tcPr>
            <w:tcW w:w="1483" w:type="dxa"/>
          </w:tcPr>
          <w:p w14:paraId="4897452E" w14:textId="3D3165C4" w:rsidR="00F755C0" w:rsidRDefault="00F755C0" w:rsidP="00431D19">
            <w:pPr>
              <w:pStyle w:val="FSTableText"/>
              <w:keepNext/>
              <w:keepLines/>
              <w:rPr>
                <w:lang w:eastAsia="en-AU" w:bidi="ar-SA"/>
              </w:rPr>
            </w:pPr>
            <w:r>
              <w:rPr>
                <w:lang w:eastAsia="en-AU" w:bidi="ar-SA"/>
              </w:rPr>
              <w:t>Apical</w:t>
            </w:r>
          </w:p>
        </w:tc>
        <w:tc>
          <w:tcPr>
            <w:tcW w:w="1537" w:type="dxa"/>
          </w:tcPr>
          <w:p w14:paraId="6E45C50F" w14:textId="6F94B8A9" w:rsidR="00F755C0" w:rsidRDefault="00AA55F4" w:rsidP="00431D19">
            <w:pPr>
              <w:pStyle w:val="FSTableText"/>
              <w:keepNext/>
              <w:keepLines/>
              <w:rPr>
                <w:lang w:eastAsia="en-AU" w:bidi="ar-SA"/>
              </w:rPr>
            </w:pPr>
            <w:r>
              <w:rPr>
                <w:lang w:eastAsia="en-AU" w:bidi="ar-SA"/>
              </w:rPr>
              <w:t>2.4</w:t>
            </w:r>
          </w:p>
        </w:tc>
        <w:tc>
          <w:tcPr>
            <w:tcW w:w="1537" w:type="dxa"/>
          </w:tcPr>
          <w:p w14:paraId="05A5B801" w14:textId="360C9CFE" w:rsidR="00F755C0" w:rsidRDefault="00AA55F4" w:rsidP="00431D19">
            <w:pPr>
              <w:pStyle w:val="FSTableText"/>
              <w:keepNext/>
              <w:keepLines/>
              <w:rPr>
                <w:lang w:eastAsia="en-AU" w:bidi="ar-SA"/>
              </w:rPr>
            </w:pPr>
            <w:r>
              <w:rPr>
                <w:lang w:eastAsia="en-AU" w:bidi="ar-SA"/>
              </w:rPr>
              <w:t>2.06 ± 1.23</w:t>
            </w:r>
          </w:p>
        </w:tc>
        <w:tc>
          <w:tcPr>
            <w:tcW w:w="1483" w:type="dxa"/>
          </w:tcPr>
          <w:p w14:paraId="4190B30A" w14:textId="37E9A284" w:rsidR="00F755C0" w:rsidRDefault="00AA55F4" w:rsidP="00431D19">
            <w:pPr>
              <w:pStyle w:val="FSTableText"/>
              <w:keepNext/>
              <w:keepLines/>
              <w:rPr>
                <w:lang w:eastAsia="en-AU" w:bidi="ar-SA"/>
              </w:rPr>
            </w:pPr>
            <w:r>
              <w:rPr>
                <w:lang w:eastAsia="en-AU" w:bidi="ar-SA"/>
              </w:rPr>
              <w:t>101.5 ± 59.7</w:t>
            </w:r>
          </w:p>
        </w:tc>
        <w:tc>
          <w:tcPr>
            <w:tcW w:w="1483" w:type="dxa"/>
          </w:tcPr>
          <w:p w14:paraId="673154B5" w14:textId="36D1D039" w:rsidR="00F755C0" w:rsidRDefault="00AA55F4" w:rsidP="00431D19">
            <w:pPr>
              <w:pStyle w:val="FSTableText"/>
              <w:keepNext/>
              <w:keepLines/>
              <w:rPr>
                <w:lang w:eastAsia="en-AU" w:bidi="ar-SA"/>
              </w:rPr>
            </w:pPr>
            <w:r>
              <w:rPr>
                <w:lang w:eastAsia="en-AU" w:bidi="ar-SA"/>
              </w:rPr>
              <w:t>118 ± 54.8</w:t>
            </w:r>
          </w:p>
        </w:tc>
      </w:tr>
      <w:tr w:rsidR="00F755C0" w14:paraId="3D969A57" w14:textId="77777777" w:rsidTr="00AA55F4">
        <w:tc>
          <w:tcPr>
            <w:tcW w:w="1537" w:type="dxa"/>
          </w:tcPr>
          <w:p w14:paraId="05EAB00C" w14:textId="31576E2F" w:rsidR="00F755C0" w:rsidRDefault="00F755C0" w:rsidP="00431D19">
            <w:pPr>
              <w:pStyle w:val="FSTableText"/>
              <w:keepNext/>
              <w:keepLines/>
              <w:rPr>
                <w:lang w:eastAsia="en-AU" w:bidi="ar-SA"/>
              </w:rPr>
            </w:pPr>
            <w:r>
              <w:rPr>
                <w:lang w:eastAsia="en-AU" w:bidi="ar-SA"/>
              </w:rPr>
              <w:t>Time 0</w:t>
            </w:r>
          </w:p>
        </w:tc>
        <w:tc>
          <w:tcPr>
            <w:tcW w:w="1483" w:type="dxa"/>
          </w:tcPr>
          <w:p w14:paraId="17707622" w14:textId="5EE164A5" w:rsidR="00F755C0" w:rsidRDefault="00F755C0" w:rsidP="00431D19">
            <w:pPr>
              <w:pStyle w:val="FSTableText"/>
              <w:keepNext/>
              <w:keepLines/>
              <w:rPr>
                <w:lang w:eastAsia="en-AU" w:bidi="ar-SA"/>
              </w:rPr>
            </w:pPr>
            <w:r>
              <w:rPr>
                <w:lang w:eastAsia="en-AU" w:bidi="ar-SA"/>
              </w:rPr>
              <w:t>Basolateral</w:t>
            </w:r>
          </w:p>
        </w:tc>
        <w:tc>
          <w:tcPr>
            <w:tcW w:w="1537" w:type="dxa"/>
          </w:tcPr>
          <w:p w14:paraId="5070AB8D" w14:textId="76C3770B" w:rsidR="00F755C0" w:rsidRDefault="00316C32" w:rsidP="00431D19">
            <w:pPr>
              <w:pStyle w:val="FSTableText"/>
              <w:keepNext/>
              <w:keepLines/>
              <w:rPr>
                <w:lang w:eastAsia="en-AU" w:bidi="ar-SA"/>
              </w:rPr>
            </w:pPr>
            <w:r>
              <w:rPr>
                <w:lang w:eastAsia="en-AU" w:bidi="ar-SA"/>
              </w:rPr>
              <w:t>NA</w:t>
            </w:r>
          </w:p>
        </w:tc>
        <w:tc>
          <w:tcPr>
            <w:tcW w:w="1537" w:type="dxa"/>
          </w:tcPr>
          <w:p w14:paraId="0D7218B7" w14:textId="12F140D4" w:rsidR="00F755C0" w:rsidRDefault="00AA55F4" w:rsidP="00431D19">
            <w:pPr>
              <w:pStyle w:val="FSTableText"/>
              <w:keepNext/>
              <w:keepLines/>
              <w:rPr>
                <w:lang w:eastAsia="en-AU" w:bidi="ar-SA"/>
              </w:rPr>
            </w:pPr>
            <w:r>
              <w:rPr>
                <w:lang w:eastAsia="en-AU" w:bidi="ar-SA"/>
              </w:rPr>
              <w:t>0.004</w:t>
            </w:r>
          </w:p>
        </w:tc>
        <w:tc>
          <w:tcPr>
            <w:tcW w:w="1483" w:type="dxa"/>
          </w:tcPr>
          <w:p w14:paraId="6D2AEBCF" w14:textId="43BAC88C" w:rsidR="00F755C0" w:rsidRDefault="00316C32" w:rsidP="00431D19">
            <w:pPr>
              <w:pStyle w:val="FSTableText"/>
              <w:keepNext/>
              <w:keepLines/>
              <w:rPr>
                <w:lang w:eastAsia="en-AU" w:bidi="ar-SA"/>
              </w:rPr>
            </w:pPr>
            <w:r>
              <w:rPr>
                <w:lang w:eastAsia="en-AU" w:bidi="ar-SA"/>
              </w:rPr>
              <w:t>NA</w:t>
            </w:r>
          </w:p>
        </w:tc>
        <w:tc>
          <w:tcPr>
            <w:tcW w:w="1483" w:type="dxa"/>
          </w:tcPr>
          <w:p w14:paraId="22A56168" w14:textId="551DBDE7" w:rsidR="00F755C0" w:rsidRDefault="00DA56A8" w:rsidP="00431D19">
            <w:pPr>
              <w:pStyle w:val="FSTableText"/>
              <w:keepNext/>
              <w:keepLines/>
              <w:rPr>
                <w:lang w:eastAsia="en-AU" w:bidi="ar-SA"/>
              </w:rPr>
            </w:pPr>
            <w:r>
              <w:rPr>
                <w:lang w:eastAsia="en-AU" w:bidi="ar-SA"/>
              </w:rPr>
              <w:t>0</w:t>
            </w:r>
            <w:r w:rsidR="00407DCC">
              <w:rPr>
                <w:lang w:eastAsia="en-AU" w:bidi="ar-SA"/>
              </w:rPr>
              <w:t>*</w:t>
            </w:r>
          </w:p>
        </w:tc>
      </w:tr>
      <w:tr w:rsidR="00F755C0" w14:paraId="2220AD37" w14:textId="77777777" w:rsidTr="00F755C0">
        <w:tc>
          <w:tcPr>
            <w:tcW w:w="1537" w:type="dxa"/>
          </w:tcPr>
          <w:p w14:paraId="55ABC0FD" w14:textId="022ABCDF" w:rsidR="00F755C0" w:rsidRDefault="00F755C0" w:rsidP="00431D19">
            <w:pPr>
              <w:pStyle w:val="FSTableText"/>
              <w:keepNext/>
              <w:keepLines/>
              <w:rPr>
                <w:lang w:eastAsia="en-AU" w:bidi="ar-SA"/>
              </w:rPr>
            </w:pPr>
            <w:r>
              <w:rPr>
                <w:lang w:eastAsia="en-AU" w:bidi="ar-SA"/>
              </w:rPr>
              <w:t>Time 2 h (pepsin) + 24 h (pancreatin)</w:t>
            </w:r>
          </w:p>
        </w:tc>
        <w:tc>
          <w:tcPr>
            <w:tcW w:w="1483" w:type="dxa"/>
          </w:tcPr>
          <w:p w14:paraId="39178B65" w14:textId="0EC9FD3E" w:rsidR="00F755C0" w:rsidRDefault="00F755C0" w:rsidP="00431D19">
            <w:pPr>
              <w:pStyle w:val="FSTableText"/>
              <w:keepNext/>
              <w:keepLines/>
              <w:rPr>
                <w:lang w:eastAsia="en-AU" w:bidi="ar-SA"/>
              </w:rPr>
            </w:pPr>
            <w:r>
              <w:rPr>
                <w:lang w:eastAsia="en-AU" w:bidi="ar-SA"/>
              </w:rPr>
              <w:t>Basolateral</w:t>
            </w:r>
          </w:p>
        </w:tc>
        <w:tc>
          <w:tcPr>
            <w:tcW w:w="1537" w:type="dxa"/>
          </w:tcPr>
          <w:p w14:paraId="574B613B" w14:textId="6FAC7DE5" w:rsidR="00F755C0" w:rsidRDefault="00316C32" w:rsidP="00431D19">
            <w:pPr>
              <w:pStyle w:val="FSTableText"/>
              <w:keepNext/>
              <w:keepLines/>
              <w:rPr>
                <w:lang w:eastAsia="en-AU" w:bidi="ar-SA"/>
              </w:rPr>
            </w:pPr>
            <w:r>
              <w:rPr>
                <w:lang w:eastAsia="en-AU" w:bidi="ar-SA"/>
              </w:rPr>
              <w:t>NA</w:t>
            </w:r>
          </w:p>
        </w:tc>
        <w:tc>
          <w:tcPr>
            <w:tcW w:w="1537" w:type="dxa"/>
          </w:tcPr>
          <w:p w14:paraId="01DDEF7A" w14:textId="025F63FE" w:rsidR="00F755C0" w:rsidRDefault="00AA55F4" w:rsidP="00431D19">
            <w:pPr>
              <w:pStyle w:val="FSTableText"/>
              <w:keepNext/>
              <w:keepLines/>
              <w:rPr>
                <w:lang w:eastAsia="en-AU" w:bidi="ar-SA"/>
              </w:rPr>
            </w:pPr>
            <w:r>
              <w:rPr>
                <w:lang w:eastAsia="en-AU" w:bidi="ar-SA"/>
              </w:rPr>
              <w:t>0</w:t>
            </w:r>
          </w:p>
        </w:tc>
        <w:tc>
          <w:tcPr>
            <w:tcW w:w="1483" w:type="dxa"/>
          </w:tcPr>
          <w:p w14:paraId="3A38C308" w14:textId="4766AEA1" w:rsidR="00F755C0" w:rsidRDefault="00316C32" w:rsidP="00431D19">
            <w:pPr>
              <w:pStyle w:val="FSTableText"/>
              <w:keepNext/>
              <w:keepLines/>
              <w:rPr>
                <w:lang w:eastAsia="en-AU" w:bidi="ar-SA"/>
              </w:rPr>
            </w:pPr>
            <w:r>
              <w:rPr>
                <w:lang w:eastAsia="en-AU" w:bidi="ar-SA"/>
              </w:rPr>
              <w:t>NA</w:t>
            </w:r>
          </w:p>
        </w:tc>
        <w:tc>
          <w:tcPr>
            <w:tcW w:w="1483" w:type="dxa"/>
          </w:tcPr>
          <w:p w14:paraId="2E9EEE17" w14:textId="5CB8F813" w:rsidR="00F755C0" w:rsidRDefault="00DA56A8" w:rsidP="00431D19">
            <w:pPr>
              <w:pStyle w:val="FSTableText"/>
              <w:keepNext/>
              <w:keepLines/>
              <w:rPr>
                <w:lang w:eastAsia="en-AU" w:bidi="ar-SA"/>
              </w:rPr>
            </w:pPr>
            <w:r>
              <w:rPr>
                <w:lang w:eastAsia="en-AU" w:bidi="ar-SA"/>
              </w:rPr>
              <w:t>0</w:t>
            </w:r>
            <w:r w:rsidR="00407DCC">
              <w:rPr>
                <w:lang w:eastAsia="en-AU" w:bidi="ar-SA"/>
              </w:rPr>
              <w:t>*</w:t>
            </w:r>
          </w:p>
        </w:tc>
      </w:tr>
    </w:tbl>
    <w:p w14:paraId="25AD968F" w14:textId="75AC3CDC" w:rsidR="00FD1C6A" w:rsidRDefault="00FD1C6A" w:rsidP="00EC7954">
      <w:pPr>
        <w:pStyle w:val="FSTableText"/>
      </w:pPr>
      <w:bookmarkStart w:id="86" w:name="_Toc522276776"/>
      <w:bookmarkStart w:id="87" w:name="_Toc522780503"/>
      <w:r w:rsidRPr="00FD1C6A">
        <w:t>#</w:t>
      </w:r>
      <w:r>
        <w:t xml:space="preserve"> Concentration added to apical cell</w:t>
      </w:r>
    </w:p>
    <w:p w14:paraId="490AB307" w14:textId="41728128" w:rsidR="00316C32" w:rsidRDefault="00316C32" w:rsidP="00EC7954">
      <w:pPr>
        <w:pStyle w:val="FSTableText"/>
      </w:pPr>
      <w:r>
        <w:t>NA: Not Applicable</w:t>
      </w:r>
    </w:p>
    <w:p w14:paraId="3FC6F2AC" w14:textId="710ADE9A" w:rsidR="00407DCC" w:rsidRDefault="00407DCC" w:rsidP="00EC7954">
      <w:pPr>
        <w:pStyle w:val="FSTableText"/>
      </w:pPr>
      <w:r>
        <w:t>*</w:t>
      </w:r>
      <w:r w:rsidR="00DA56A8">
        <w:t>0%: analytical values below</w:t>
      </w:r>
      <w:r>
        <w:t xml:space="preserve"> </w:t>
      </w:r>
      <w:r w:rsidR="00DA56A8">
        <w:t>l</w:t>
      </w:r>
      <w:r>
        <w:t xml:space="preserve">imit of detection for aspartic acid </w:t>
      </w:r>
      <w:r w:rsidR="00DA56A8">
        <w:t>(</w:t>
      </w:r>
      <w:r>
        <w:t>0.0007 mg/mL</w:t>
      </w:r>
      <w:r w:rsidR="00DA56A8">
        <w:t>)</w:t>
      </w:r>
    </w:p>
    <w:p w14:paraId="4DF20148" w14:textId="462976FF" w:rsidR="00EC7F21" w:rsidRDefault="00EC7F21" w:rsidP="00F861F2">
      <w:pPr>
        <w:pStyle w:val="Heading3"/>
      </w:pPr>
      <w:bookmarkStart w:id="88" w:name="_Toc524342544"/>
      <w:r>
        <w:t xml:space="preserve">3.2.2 Acute toxicity studies in </w:t>
      </w:r>
      <w:r w:rsidR="00692162">
        <w:t>animals</w:t>
      </w:r>
      <w:bookmarkEnd w:id="86"/>
      <w:bookmarkEnd w:id="87"/>
      <w:bookmarkEnd w:id="88"/>
    </w:p>
    <w:p w14:paraId="29293CBD" w14:textId="5799F7B9" w:rsidR="00692162" w:rsidRDefault="00692162" w:rsidP="00692162">
      <w:pPr>
        <w:rPr>
          <w:lang w:eastAsia="en-AU" w:bidi="ar-SA"/>
        </w:rPr>
      </w:pPr>
      <w:r>
        <w:rPr>
          <w:lang w:eastAsia="en-AU" w:bidi="ar-SA"/>
        </w:rPr>
        <w:t xml:space="preserve">No acute toxicity studies are available with potassium polyaspartate. </w:t>
      </w:r>
    </w:p>
    <w:p w14:paraId="48C14CEC" w14:textId="186052F9" w:rsidR="00692162" w:rsidRDefault="00692162" w:rsidP="00692162">
      <w:pPr>
        <w:rPr>
          <w:lang w:eastAsia="en-AU" w:bidi="ar-SA"/>
        </w:rPr>
      </w:pPr>
    </w:p>
    <w:p w14:paraId="5C78DCDE" w14:textId="4043ED8A" w:rsidR="000517F5" w:rsidRPr="00E20EE5" w:rsidRDefault="00692162" w:rsidP="000517F5">
      <w:pPr>
        <w:rPr>
          <w:lang w:eastAsia="en-AU" w:bidi="ar-SA"/>
        </w:rPr>
      </w:pPr>
      <w:r>
        <w:rPr>
          <w:lang w:eastAsia="en-AU" w:bidi="ar-SA"/>
        </w:rPr>
        <w:t>Acute toxicity studies with sodium polyaspartate have been conducted on behalf of Bayer Australia Ltd and LANXESS Deutschland GmbH and submitted to NICNAS and the US FDA, respectively.</w:t>
      </w:r>
      <w:r w:rsidR="000517F5">
        <w:rPr>
          <w:lang w:eastAsia="en-AU" w:bidi="ar-SA"/>
        </w:rPr>
        <w:t xml:space="preserve"> Sodium polyaspartate has the same structure as potassium polyaspartate, except the potassium is replaced by sodium.</w:t>
      </w:r>
      <w:r>
        <w:rPr>
          <w:lang w:eastAsia="en-AU" w:bidi="ar-SA"/>
        </w:rPr>
        <w:t xml:space="preserve"> NICNAS (2001) reported that in an acute oral study in rats (3/sex) conducted in accordance with OECD Test Guideline (TG) 423 (Acute Toxic Class method) no adverse effects were observed at</w:t>
      </w:r>
      <w:r w:rsidR="000517F5">
        <w:rPr>
          <w:lang w:eastAsia="en-AU" w:bidi="ar-SA"/>
        </w:rPr>
        <w:t xml:space="preserve"> a</w:t>
      </w:r>
      <w:r>
        <w:rPr>
          <w:lang w:eastAsia="en-AU" w:bidi="ar-SA"/>
        </w:rPr>
        <w:t xml:space="preserve"> limit dose of 2000 mg/kg bw/day. LANXESS</w:t>
      </w:r>
      <w:r w:rsidR="000517F5">
        <w:rPr>
          <w:lang w:eastAsia="en-AU" w:bidi="ar-SA"/>
        </w:rPr>
        <w:t xml:space="preserve"> (2007)</w:t>
      </w:r>
      <w:r>
        <w:rPr>
          <w:lang w:eastAsia="en-AU" w:bidi="ar-SA"/>
        </w:rPr>
        <w:t xml:space="preserve"> also reported an LD</w:t>
      </w:r>
      <w:r w:rsidRPr="000517F5">
        <w:rPr>
          <w:vertAlign w:val="subscript"/>
          <w:lang w:eastAsia="en-AU" w:bidi="ar-SA"/>
        </w:rPr>
        <w:t>50</w:t>
      </w:r>
      <w:r>
        <w:rPr>
          <w:lang w:eastAsia="en-AU" w:bidi="ar-SA"/>
        </w:rPr>
        <w:t xml:space="preserve"> &gt; 2000 mg/kg bw in rats.</w:t>
      </w:r>
    </w:p>
    <w:p w14:paraId="7E4DF9CC" w14:textId="345BECF4" w:rsidR="00ED3AF9" w:rsidRDefault="00692162" w:rsidP="00F861F2">
      <w:pPr>
        <w:pStyle w:val="Heading3"/>
      </w:pPr>
      <w:bookmarkStart w:id="89" w:name="_Toc522276777"/>
      <w:bookmarkStart w:id="90" w:name="_Toc522780504"/>
      <w:bookmarkStart w:id="91" w:name="_Toc524342545"/>
      <w:r>
        <w:t>3.2.</w:t>
      </w:r>
      <w:r w:rsidR="00D2084C">
        <w:t>3</w:t>
      </w:r>
      <w:r>
        <w:t xml:space="preserve"> Short-</w:t>
      </w:r>
      <w:r w:rsidR="001D5271">
        <w:t xml:space="preserve">term </w:t>
      </w:r>
      <w:r>
        <w:t xml:space="preserve">toxicity </w:t>
      </w:r>
      <w:r w:rsidR="001D5271">
        <w:t>studies in animals</w:t>
      </w:r>
      <w:bookmarkEnd w:id="89"/>
      <w:bookmarkEnd w:id="90"/>
      <w:bookmarkEnd w:id="91"/>
    </w:p>
    <w:p w14:paraId="7EA85F3F" w14:textId="4BEFCF93" w:rsidR="001D5181" w:rsidRDefault="00284A6F" w:rsidP="001D5181">
      <w:pPr>
        <w:rPr>
          <w:lang w:eastAsia="en-AU" w:bidi="ar-SA"/>
        </w:rPr>
      </w:pPr>
      <w:r>
        <w:rPr>
          <w:lang w:eastAsia="en-AU" w:bidi="ar-SA"/>
        </w:rPr>
        <w:t xml:space="preserve">The </w:t>
      </w:r>
      <w:r w:rsidR="001D5181">
        <w:rPr>
          <w:lang w:eastAsia="en-AU" w:bidi="ar-SA"/>
        </w:rPr>
        <w:t xml:space="preserve">LANXESS </w:t>
      </w:r>
      <w:r>
        <w:rPr>
          <w:lang w:eastAsia="en-AU" w:bidi="ar-SA"/>
        </w:rPr>
        <w:t>submission to the US FDA</w:t>
      </w:r>
      <w:r w:rsidR="001D5181">
        <w:rPr>
          <w:lang w:eastAsia="en-AU" w:bidi="ar-SA"/>
        </w:rPr>
        <w:t xml:space="preserve"> </w:t>
      </w:r>
      <w:r>
        <w:rPr>
          <w:lang w:eastAsia="en-AU" w:bidi="ar-SA"/>
        </w:rPr>
        <w:t xml:space="preserve">reports </w:t>
      </w:r>
      <w:r w:rsidR="001D5181">
        <w:rPr>
          <w:lang w:eastAsia="en-AU" w:bidi="ar-SA"/>
        </w:rPr>
        <w:t>that no adverse effects were observed in a study in which Wistar rats were administered sodium polyaspartate at doses up to 1000 mg/kg bw/day by oral gavage for four weeks, followed by a recovery period of two weeks</w:t>
      </w:r>
      <w:r>
        <w:rPr>
          <w:lang w:eastAsia="en-AU" w:bidi="ar-SA"/>
        </w:rPr>
        <w:t xml:space="preserve"> (LANXESS 2007)</w:t>
      </w:r>
      <w:r w:rsidR="001D5181">
        <w:rPr>
          <w:lang w:eastAsia="en-AU" w:bidi="ar-SA"/>
        </w:rPr>
        <w:t xml:space="preserve">. </w:t>
      </w:r>
      <w:r>
        <w:rPr>
          <w:lang w:eastAsia="en-AU" w:bidi="ar-SA"/>
        </w:rPr>
        <w:t>The original study report was not provided</w:t>
      </w:r>
      <w:r w:rsidR="00D2084C">
        <w:rPr>
          <w:lang w:eastAsia="en-AU" w:bidi="ar-SA"/>
        </w:rPr>
        <w:t xml:space="preserve">. </w:t>
      </w:r>
    </w:p>
    <w:p w14:paraId="73DDB98E" w14:textId="7D7E1368" w:rsidR="001D5181" w:rsidRPr="001D5181" w:rsidRDefault="001D5181" w:rsidP="001D5181">
      <w:pPr>
        <w:rPr>
          <w:lang w:eastAsia="en-AU" w:bidi="ar-SA"/>
        </w:rPr>
      </w:pPr>
    </w:p>
    <w:p w14:paraId="551E4F66" w14:textId="414FB0B2" w:rsidR="001D5271" w:rsidRPr="0084184B" w:rsidRDefault="007F14BA" w:rsidP="00F861F2">
      <w:pPr>
        <w:pStyle w:val="Heading4"/>
      </w:pPr>
      <w:r>
        <w:rPr>
          <w:lang w:eastAsia="en-AU"/>
        </w:rPr>
        <w:t>14</w:t>
      </w:r>
      <w:r w:rsidR="00AF314B">
        <w:rPr>
          <w:lang w:eastAsia="en-AU"/>
        </w:rPr>
        <w:t>-</w:t>
      </w:r>
      <w:r>
        <w:rPr>
          <w:lang w:eastAsia="en-AU"/>
        </w:rPr>
        <w:t>day repeated dose oral toxicity study in rats (</w:t>
      </w:r>
      <w:r w:rsidRPr="00844810">
        <w:rPr>
          <w:lang w:eastAsia="en-AU"/>
        </w:rPr>
        <w:t>Gumaste 2014</w:t>
      </w:r>
      <w:r w:rsidR="00CD0135" w:rsidRPr="00844810">
        <w:rPr>
          <w:lang w:eastAsia="en-AU"/>
        </w:rPr>
        <w:t>a</w:t>
      </w:r>
      <w:r>
        <w:rPr>
          <w:lang w:eastAsia="en-AU"/>
        </w:rPr>
        <w:t>) Regulatory status: Non-GLP; Protocol b</w:t>
      </w:r>
      <w:r w:rsidR="00AF314B">
        <w:rPr>
          <w:lang w:eastAsia="en-AU"/>
        </w:rPr>
        <w:t>ased on OECD TG</w:t>
      </w:r>
      <w:r>
        <w:rPr>
          <w:lang w:eastAsia="en-AU"/>
        </w:rPr>
        <w:t xml:space="preserve"> 407</w:t>
      </w:r>
    </w:p>
    <w:p w14:paraId="3BF3A01F" w14:textId="1CC6D884" w:rsidR="0009361F" w:rsidRDefault="00511B7A" w:rsidP="001D5271">
      <w:pPr>
        <w:rPr>
          <w:lang w:eastAsia="en-AU" w:bidi="ar-SA"/>
        </w:rPr>
      </w:pPr>
      <w:r>
        <w:rPr>
          <w:lang w:eastAsia="en-AU" w:bidi="ar-SA"/>
        </w:rPr>
        <w:t xml:space="preserve">This study was conducted as a dose range finding study </w:t>
      </w:r>
      <w:r w:rsidR="009E211A">
        <w:rPr>
          <w:lang w:eastAsia="en-AU" w:bidi="ar-SA"/>
        </w:rPr>
        <w:t xml:space="preserve">to inform the design </w:t>
      </w:r>
      <w:r>
        <w:rPr>
          <w:lang w:eastAsia="en-AU" w:bidi="ar-SA"/>
        </w:rPr>
        <w:t xml:space="preserve">of a 90 day oral toxicity study. </w:t>
      </w:r>
      <w:r w:rsidR="00DE0329">
        <w:rPr>
          <w:lang w:eastAsia="en-AU" w:bidi="ar-SA"/>
        </w:rPr>
        <w:t>The test article was</w:t>
      </w:r>
      <w:r w:rsidR="00CE546B">
        <w:rPr>
          <w:lang w:eastAsia="en-AU" w:bidi="ar-SA"/>
        </w:rPr>
        <w:t xml:space="preserve"> potassium polyaspartate</w:t>
      </w:r>
      <w:r w:rsidR="00DE0329">
        <w:rPr>
          <w:lang w:eastAsia="en-AU" w:bidi="ar-SA"/>
        </w:rPr>
        <w:t xml:space="preserve"> </w:t>
      </w:r>
      <w:r w:rsidR="00DE0329" w:rsidRPr="006973A7">
        <w:rPr>
          <w:szCs w:val="22"/>
          <w:lang w:eastAsia="en-AU" w:bidi="ar-SA"/>
        </w:rPr>
        <w:t>(Batch no. KHKS-040412; 99% w/w on dry matter)</w:t>
      </w:r>
      <w:r w:rsidR="0009361F">
        <w:rPr>
          <w:szCs w:val="22"/>
          <w:lang w:eastAsia="en-AU" w:bidi="ar-SA"/>
        </w:rPr>
        <w:t xml:space="preserve"> and the vehicle control was water.</w:t>
      </w:r>
      <w:r w:rsidR="00CE546B">
        <w:rPr>
          <w:szCs w:val="22"/>
          <w:lang w:eastAsia="en-AU" w:bidi="ar-SA"/>
        </w:rPr>
        <w:t xml:space="preserve"> </w:t>
      </w:r>
      <w:r w:rsidR="0009361F">
        <w:rPr>
          <w:lang w:eastAsia="en-AU" w:bidi="ar-SA"/>
        </w:rPr>
        <w:t xml:space="preserve">Groups of five male and five female Wistar rats (aged 8 weeks) were administered potassium polyaspartate by oral gavage for 14 days at doses of 0, 60, 125, 250, 500 and 1000 mg/kg bw/day. </w:t>
      </w:r>
      <w:r w:rsidR="00E04AD5">
        <w:rPr>
          <w:lang w:eastAsia="en-AU" w:bidi="ar-SA"/>
        </w:rPr>
        <w:t xml:space="preserve">Rats were examined daily for signs of toxicity, morbidity and mortality, with detailed clinical examination performed before initiation of the study and weekly thereafter including at termination. Body weight and food consumption were recorded weekly, and at termination blood samples were collected for haematology and clinical chemistry analyses. At termination all rats were subjected to a detailed necropsy and selected organ weights were recorded. </w:t>
      </w:r>
    </w:p>
    <w:p w14:paraId="67F52F23" w14:textId="6BB13AD2" w:rsidR="00E04AD5" w:rsidRDefault="00E04AD5" w:rsidP="001D5271">
      <w:pPr>
        <w:rPr>
          <w:lang w:eastAsia="en-AU" w:bidi="ar-SA"/>
        </w:rPr>
      </w:pPr>
    </w:p>
    <w:p w14:paraId="092A803B" w14:textId="060343EE" w:rsidR="00E04AD5" w:rsidRDefault="00325100" w:rsidP="001D5271">
      <w:pPr>
        <w:rPr>
          <w:lang w:eastAsia="en-AU" w:bidi="ar-SA"/>
        </w:rPr>
      </w:pPr>
      <w:r>
        <w:rPr>
          <w:lang w:eastAsia="en-AU" w:bidi="ar-SA"/>
        </w:rPr>
        <w:t>No mortality or treatment-related clinical signs were observed during the course of the study in any dose group. Body weig</w:t>
      </w:r>
      <w:r w:rsidR="00B361E6">
        <w:rPr>
          <w:lang w:eastAsia="en-AU" w:bidi="ar-SA"/>
        </w:rPr>
        <w:t>ht gain and food consumption were</w:t>
      </w:r>
      <w:r>
        <w:rPr>
          <w:lang w:eastAsia="en-AU" w:bidi="ar-SA"/>
        </w:rPr>
        <w:t xml:space="preserve"> similar in all groups. No treatment-related adverse changes in haematology or clinical chemistry parameters were observed. No gross pathological changes were found in treated rats at the end of the study. The no observed adverse effect level</w:t>
      </w:r>
      <w:r w:rsidR="00B361E6">
        <w:rPr>
          <w:lang w:eastAsia="en-AU" w:bidi="ar-SA"/>
        </w:rPr>
        <w:t xml:space="preserve"> (NOAEL)</w:t>
      </w:r>
      <w:r>
        <w:rPr>
          <w:lang w:eastAsia="en-AU" w:bidi="ar-SA"/>
        </w:rPr>
        <w:t xml:space="preserve"> in this study was 1000 mg/kg bw/day, the highest dose tested. </w:t>
      </w:r>
    </w:p>
    <w:p w14:paraId="56F8A40F" w14:textId="7A231180" w:rsidR="00325100" w:rsidRDefault="00CD0135" w:rsidP="00F861F2">
      <w:pPr>
        <w:pStyle w:val="Heading4"/>
        <w:rPr>
          <w:lang w:eastAsia="en-AU"/>
        </w:rPr>
      </w:pPr>
      <w:r>
        <w:rPr>
          <w:lang w:eastAsia="en-AU"/>
        </w:rPr>
        <w:t>90</w:t>
      </w:r>
      <w:r w:rsidR="00AF314B">
        <w:rPr>
          <w:lang w:eastAsia="en-AU"/>
        </w:rPr>
        <w:t>-</w:t>
      </w:r>
      <w:r>
        <w:rPr>
          <w:lang w:eastAsia="en-AU"/>
        </w:rPr>
        <w:t>day repeated dose oral toxicity study in rats (</w:t>
      </w:r>
      <w:r w:rsidRPr="00844810">
        <w:rPr>
          <w:lang w:eastAsia="en-AU"/>
        </w:rPr>
        <w:t>Gumaste 2014b</w:t>
      </w:r>
      <w:r>
        <w:rPr>
          <w:lang w:eastAsia="en-AU"/>
        </w:rPr>
        <w:t>) Regulatory status: GLP; Conducted according to OECD TG 408</w:t>
      </w:r>
    </w:p>
    <w:p w14:paraId="35EE318C" w14:textId="3A326DF4" w:rsidR="00CD0135" w:rsidRDefault="00CE546B" w:rsidP="001D5271">
      <w:pPr>
        <w:rPr>
          <w:szCs w:val="22"/>
          <w:lang w:eastAsia="en-AU" w:bidi="ar-SA"/>
        </w:rPr>
      </w:pPr>
      <w:r>
        <w:rPr>
          <w:lang w:eastAsia="en-AU" w:bidi="ar-SA"/>
        </w:rPr>
        <w:t xml:space="preserve">The test article in this study was potassium polyaspartate </w:t>
      </w:r>
      <w:r w:rsidRPr="006973A7">
        <w:rPr>
          <w:szCs w:val="22"/>
          <w:lang w:eastAsia="en-AU" w:bidi="ar-SA"/>
        </w:rPr>
        <w:t>(Batch no. KHKS-040412; 99% w/w on dry matter)</w:t>
      </w:r>
      <w:r>
        <w:rPr>
          <w:szCs w:val="22"/>
          <w:lang w:eastAsia="en-AU" w:bidi="ar-SA"/>
        </w:rPr>
        <w:t xml:space="preserve"> and the vehicle control was water.</w:t>
      </w:r>
      <w:r w:rsidR="00364D39">
        <w:rPr>
          <w:szCs w:val="22"/>
          <w:lang w:eastAsia="en-AU" w:bidi="ar-SA"/>
        </w:rPr>
        <w:t xml:space="preserve"> The study protocol included a modification to include additional parameters recommended in the OECD Test Guideline for repeated dose 28 day oral toxicity studies in rodents (TG 407). These additional parameters are intended to place more emphasis on endocrine-related endpoints, and include assessment of thyroid hormones, oestrus cycles, and histopathology of tissues that may indicate endocrine activity of test substances. </w:t>
      </w:r>
    </w:p>
    <w:p w14:paraId="41C70974" w14:textId="14BB3E91" w:rsidR="00CE546B" w:rsidRDefault="00CE546B" w:rsidP="001D5271">
      <w:pPr>
        <w:rPr>
          <w:szCs w:val="22"/>
          <w:lang w:eastAsia="en-AU" w:bidi="ar-SA"/>
        </w:rPr>
      </w:pPr>
    </w:p>
    <w:p w14:paraId="6E5C053C" w14:textId="7772E610" w:rsidR="00CE546B" w:rsidRDefault="00CE546B" w:rsidP="001D5271">
      <w:pPr>
        <w:rPr>
          <w:szCs w:val="22"/>
          <w:lang w:eastAsia="en-AU" w:bidi="ar-SA"/>
        </w:rPr>
      </w:pPr>
      <w:r>
        <w:rPr>
          <w:szCs w:val="22"/>
          <w:lang w:eastAsia="en-AU" w:bidi="ar-SA"/>
        </w:rPr>
        <w:t xml:space="preserve">Groups of ten male and ten female Wistar rats (aged 8 weeks) were administered potassium polyaspartate by oral gavage for 90 days at doses of 0, 250, 500 and 1000 mg/kg bw/day. Additional recovery groups (5/sex/group) of rats were administered the vehicle or the high dose for 90 days and then observed for a further 28 days following the end of treatment. Rats were examined daily for signs of toxicity, morbidity and mortality, with detailed clinical examinations before the start of the study and weekly thereafter during the treatment period, recovery period and at termination. Ophthalmoscopy examinations were conducted on control and high dose group animals </w:t>
      </w:r>
      <w:r w:rsidR="00926DD3">
        <w:rPr>
          <w:szCs w:val="22"/>
          <w:lang w:eastAsia="en-AU" w:bidi="ar-SA"/>
        </w:rPr>
        <w:t xml:space="preserve">prior to initiation of the study and at termination of treatment. Body weight and food consumption were recorded weekly. In the final week of treatment </w:t>
      </w:r>
      <w:r w:rsidR="00B361E6">
        <w:rPr>
          <w:szCs w:val="22"/>
          <w:lang w:eastAsia="en-AU" w:bidi="ar-SA"/>
        </w:rPr>
        <w:t xml:space="preserve">all </w:t>
      </w:r>
      <w:r w:rsidR="00926DD3">
        <w:rPr>
          <w:szCs w:val="22"/>
          <w:lang w:eastAsia="en-AU" w:bidi="ar-SA"/>
        </w:rPr>
        <w:t>animals</w:t>
      </w:r>
      <w:r w:rsidR="00B361E6">
        <w:rPr>
          <w:szCs w:val="22"/>
          <w:lang w:eastAsia="en-AU" w:bidi="ar-SA"/>
        </w:rPr>
        <w:t xml:space="preserve"> underwent a neurological examination in which they</w:t>
      </w:r>
      <w:r w:rsidR="00926DD3">
        <w:rPr>
          <w:szCs w:val="22"/>
          <w:lang w:eastAsia="en-AU" w:bidi="ar-SA"/>
        </w:rPr>
        <w:t xml:space="preserve"> were assessed for sensory reactivity, grip strength and motor activity, including a functional observational battery. Blood samples were collected from main study animals at the end of the treatment period (Day 91) and from recovery group animals at the end of the recovery period (Day 119). </w:t>
      </w:r>
      <w:r w:rsidR="00A13B8F">
        <w:rPr>
          <w:szCs w:val="22"/>
          <w:lang w:eastAsia="en-AU" w:bidi="ar-SA"/>
        </w:rPr>
        <w:t xml:space="preserve">Urine samples were collected from animals a few days before the end of treatment (Day 86) and just before the end of the recovery period (Days 116 and 117). </w:t>
      </w:r>
      <w:r w:rsidR="008F4D6D">
        <w:rPr>
          <w:lang w:eastAsia="en-AU" w:bidi="ar-SA"/>
        </w:rPr>
        <w:t xml:space="preserve">At termination of treatment and at the end of the recovery period the oestrus cycle </w:t>
      </w:r>
      <w:r w:rsidR="00B361E6">
        <w:rPr>
          <w:lang w:eastAsia="en-AU" w:bidi="ar-SA"/>
        </w:rPr>
        <w:t xml:space="preserve">stage </w:t>
      </w:r>
      <w:r w:rsidR="008F4D6D">
        <w:rPr>
          <w:lang w:eastAsia="en-AU" w:bidi="ar-SA"/>
        </w:rPr>
        <w:t xml:space="preserve">for all females was determined by taking vaginal smears. </w:t>
      </w:r>
      <w:r w:rsidR="00A43BFF">
        <w:rPr>
          <w:szCs w:val="22"/>
          <w:lang w:eastAsia="en-AU" w:bidi="ar-SA"/>
        </w:rPr>
        <w:t>All animal</w:t>
      </w:r>
      <w:r w:rsidR="008F4D6D">
        <w:rPr>
          <w:szCs w:val="22"/>
          <w:lang w:eastAsia="en-AU" w:bidi="ar-SA"/>
        </w:rPr>
        <w:t>s</w:t>
      </w:r>
      <w:r w:rsidR="00A43BFF">
        <w:rPr>
          <w:szCs w:val="22"/>
          <w:lang w:eastAsia="en-AU" w:bidi="ar-SA"/>
        </w:rPr>
        <w:t xml:space="preserve"> were subjected to a detailed necropsy on study termination, and histopathological evaluation was performed on all rats from the main study control and high dose groups. </w:t>
      </w:r>
    </w:p>
    <w:p w14:paraId="553FC146" w14:textId="78A2BDAF" w:rsidR="001531B8" w:rsidRDefault="001531B8" w:rsidP="001D5271">
      <w:pPr>
        <w:rPr>
          <w:lang w:eastAsia="en-AU" w:bidi="ar-SA"/>
        </w:rPr>
      </w:pPr>
    </w:p>
    <w:p w14:paraId="1653D3A5" w14:textId="5EC3CB5C" w:rsidR="001531B8" w:rsidRDefault="001531B8" w:rsidP="00685C9F">
      <w:r>
        <w:rPr>
          <w:lang w:eastAsia="en-AU" w:bidi="ar-SA"/>
        </w:rPr>
        <w:t xml:space="preserve">All animals survived to the end of the study and no clinical signs of toxicity were observed. Food consumption and body weight gain were not affected by treatment and body weight gain in all treated groups was similar to that of control rats throughout the treatment period and the recovery period. </w:t>
      </w:r>
      <w:r w:rsidR="00685C9F">
        <w:t>Ophthalmological examination did not find any treatment-related ocular abnormalities.</w:t>
      </w:r>
      <w:r w:rsidR="00BD1D3B">
        <w:t xml:space="preserve"> The functional observations conducted in the thirteenth week of the study did not show any indications of neurotoxicity. </w:t>
      </w:r>
      <w:r w:rsidR="00685C9F">
        <w:t xml:space="preserve">No treatment-related </w:t>
      </w:r>
      <w:r w:rsidR="008F4D6D">
        <w:t xml:space="preserve">changes in haematology, clinical chemistry and urinalysis parameters were observed. Females from all control and treated groups exhibited a normal pattern of oestrus cycling. </w:t>
      </w:r>
      <w:r w:rsidR="00DB2B29">
        <w:t xml:space="preserve">No significant alterations in absolute and relative organ weights were observed, and no treatment-related gross pathological changes were identified. Histopathological examination of tissues from the control and high dose group animals found no adverse changes in the high dose group, and in the absence of any histological findings the investigations were not extended to the lower dose groups or the recovery groups. </w:t>
      </w:r>
    </w:p>
    <w:p w14:paraId="185D8482" w14:textId="727034DD" w:rsidR="0081055A" w:rsidRDefault="0081055A" w:rsidP="00685C9F">
      <w:pPr>
        <w:rPr>
          <w:lang w:eastAsia="en-AU" w:bidi="ar-SA"/>
        </w:rPr>
      </w:pPr>
    </w:p>
    <w:p w14:paraId="5BD14535" w14:textId="549C398E" w:rsidR="00AF314B" w:rsidRDefault="0081055A" w:rsidP="00685C9F">
      <w:pPr>
        <w:rPr>
          <w:lang w:eastAsia="en-AU" w:bidi="ar-SA"/>
        </w:rPr>
      </w:pPr>
      <w:r>
        <w:rPr>
          <w:lang w:eastAsia="en-AU" w:bidi="ar-SA"/>
        </w:rPr>
        <w:t xml:space="preserve">The NOAEL of potassium polyaspartate in this study was 1000 mg/kg bw/day, the highest dose tested. </w:t>
      </w:r>
    </w:p>
    <w:p w14:paraId="35C1CE83" w14:textId="4E3A9CA5" w:rsidR="000A2D11" w:rsidRDefault="000A2D11" w:rsidP="009449B9">
      <w:pPr>
        <w:pStyle w:val="Heading3"/>
      </w:pPr>
      <w:bookmarkStart w:id="92" w:name="_Toc522276778"/>
      <w:bookmarkStart w:id="93" w:name="_Toc522780505"/>
      <w:bookmarkStart w:id="94" w:name="_Toc524342546"/>
      <w:r>
        <w:t>3.2.</w:t>
      </w:r>
      <w:r w:rsidR="003402A8">
        <w:t>4</w:t>
      </w:r>
      <w:r>
        <w:t xml:space="preserve"> Chronic toxicity and carcinogenicity</w:t>
      </w:r>
      <w:bookmarkEnd w:id="92"/>
      <w:bookmarkEnd w:id="93"/>
      <w:bookmarkEnd w:id="94"/>
    </w:p>
    <w:p w14:paraId="3BDBC589" w14:textId="3C982D57" w:rsidR="007817EA" w:rsidRDefault="007817EA" w:rsidP="007817EA">
      <w:pPr>
        <w:rPr>
          <w:lang w:val="en-AU"/>
        </w:rPr>
      </w:pPr>
      <w:r w:rsidRPr="00272753">
        <w:rPr>
          <w:lang w:val="en-AU"/>
        </w:rPr>
        <w:t>No chronic</w:t>
      </w:r>
      <w:r w:rsidR="00B45686">
        <w:rPr>
          <w:lang w:val="en-AU"/>
        </w:rPr>
        <w:t xml:space="preserve"> toxicity</w:t>
      </w:r>
      <w:r w:rsidRPr="00272753">
        <w:rPr>
          <w:lang w:val="en-AU"/>
        </w:rPr>
        <w:t xml:space="preserve"> or carcinogenicity studies of </w:t>
      </w:r>
      <w:r>
        <w:rPr>
          <w:lang w:val="en-AU"/>
        </w:rPr>
        <w:t>potassium polyaspartate</w:t>
      </w:r>
      <w:r w:rsidRPr="00272753">
        <w:rPr>
          <w:lang w:val="en-AU"/>
        </w:rPr>
        <w:t xml:space="preserve"> were submitted in the application or located from other sources. </w:t>
      </w:r>
      <w:r>
        <w:t xml:space="preserve">Such studies are not considered to be necessary because negligible gastrointestinal digestion and absorption was found </w:t>
      </w:r>
      <w:r w:rsidRPr="007817EA">
        <w:rPr>
          <w:i/>
        </w:rPr>
        <w:t>in</w:t>
      </w:r>
      <w:r>
        <w:t xml:space="preserve"> </w:t>
      </w:r>
      <w:r w:rsidRPr="007817EA">
        <w:rPr>
          <w:i/>
        </w:rPr>
        <w:t>vitro</w:t>
      </w:r>
      <w:r>
        <w:t>, the results of genotoxicity assays are negative and there is no evidence from subchronic studies of lesions that could lead to neoplasia through non</w:t>
      </w:r>
      <w:r w:rsidR="007236BA">
        <w:t>-</w:t>
      </w:r>
      <w:r>
        <w:t>genotoxic mechanisms.</w:t>
      </w:r>
      <w:r w:rsidR="00744D20">
        <w:t xml:space="preserve"> </w:t>
      </w:r>
    </w:p>
    <w:p w14:paraId="6327DED2" w14:textId="3DA5A066" w:rsidR="001D5271" w:rsidRPr="001D5271" w:rsidRDefault="001D5271" w:rsidP="009449B9">
      <w:pPr>
        <w:pStyle w:val="Heading3"/>
      </w:pPr>
      <w:bookmarkStart w:id="95" w:name="_Toc522276779"/>
      <w:bookmarkStart w:id="96" w:name="_Toc522780506"/>
      <w:bookmarkStart w:id="97" w:name="_Toc524342547"/>
      <w:r>
        <w:t>3.2.</w:t>
      </w:r>
      <w:r w:rsidR="003402A8">
        <w:t>5</w:t>
      </w:r>
      <w:r>
        <w:t xml:space="preserve"> Genotoxicity</w:t>
      </w:r>
      <w:bookmarkEnd w:id="95"/>
      <w:bookmarkEnd w:id="96"/>
      <w:bookmarkEnd w:id="97"/>
      <w:r>
        <w:t xml:space="preserve"> </w:t>
      </w:r>
    </w:p>
    <w:p w14:paraId="021FBBD7" w14:textId="0CE4FA97" w:rsidR="001D5271" w:rsidRDefault="00DC5A33" w:rsidP="009449B9">
      <w:pPr>
        <w:pStyle w:val="Heading4"/>
        <w:rPr>
          <w:lang w:eastAsia="en-AU"/>
        </w:rPr>
      </w:pPr>
      <w:r>
        <w:rPr>
          <w:lang w:eastAsia="en-AU"/>
        </w:rPr>
        <w:t xml:space="preserve">In vitro bacterial reverse mutation assay </w:t>
      </w:r>
      <w:r w:rsidR="003F433A">
        <w:rPr>
          <w:lang w:eastAsia="en-AU"/>
        </w:rPr>
        <w:t>(</w:t>
      </w:r>
      <w:r w:rsidR="003F433A" w:rsidRPr="002C4CE9">
        <w:rPr>
          <w:lang w:eastAsia="en-AU"/>
        </w:rPr>
        <w:t>Mane 2014</w:t>
      </w:r>
      <w:r w:rsidR="002C4CE9" w:rsidRPr="002C4CE9">
        <w:rPr>
          <w:lang w:eastAsia="en-AU"/>
        </w:rPr>
        <w:t>a</w:t>
      </w:r>
      <w:r w:rsidR="003F433A">
        <w:rPr>
          <w:lang w:eastAsia="en-AU"/>
        </w:rPr>
        <w:t>) Regulatory status: GLP; Conducted according to OECD TG 471</w:t>
      </w:r>
    </w:p>
    <w:p w14:paraId="4194C336" w14:textId="5BD43161" w:rsidR="003F433A" w:rsidRDefault="006973A7" w:rsidP="00236D78">
      <w:pPr>
        <w:rPr>
          <w:szCs w:val="22"/>
          <w:lang w:eastAsia="en-AU" w:bidi="ar-SA"/>
        </w:rPr>
      </w:pPr>
      <w:r w:rsidRPr="006973A7">
        <w:rPr>
          <w:szCs w:val="22"/>
          <w:lang w:eastAsia="en-AU" w:bidi="ar-SA"/>
        </w:rPr>
        <w:t xml:space="preserve">Potassium polyaspartate (Batch no. KHKS-040412; 99% w/w on dry matter) </w:t>
      </w:r>
      <w:r>
        <w:rPr>
          <w:szCs w:val="22"/>
          <w:lang w:eastAsia="en-AU" w:bidi="ar-SA"/>
        </w:rPr>
        <w:t xml:space="preserve">was evaluated for mutagenicity in </w:t>
      </w:r>
      <w:r w:rsidRPr="00D776FE">
        <w:rPr>
          <w:i/>
          <w:szCs w:val="22"/>
          <w:lang w:eastAsia="en-AU" w:bidi="ar-SA"/>
        </w:rPr>
        <w:t>Salmonella typhimurium</w:t>
      </w:r>
      <w:r>
        <w:rPr>
          <w:szCs w:val="22"/>
          <w:lang w:eastAsia="en-AU" w:bidi="ar-SA"/>
        </w:rPr>
        <w:t xml:space="preserve"> tester strains TA1535, TA97a, TA98, TA100 and TA102, using </w:t>
      </w:r>
      <w:r w:rsidR="00226879">
        <w:rPr>
          <w:szCs w:val="22"/>
          <w:lang w:eastAsia="en-AU" w:bidi="ar-SA"/>
        </w:rPr>
        <w:t>the</w:t>
      </w:r>
      <w:r>
        <w:rPr>
          <w:szCs w:val="22"/>
          <w:lang w:eastAsia="en-AU" w:bidi="ar-SA"/>
        </w:rPr>
        <w:t xml:space="preserve"> pre-incubation </w:t>
      </w:r>
      <w:r w:rsidR="00226879">
        <w:rPr>
          <w:szCs w:val="22"/>
          <w:lang w:eastAsia="en-AU" w:bidi="ar-SA"/>
        </w:rPr>
        <w:t>method</w:t>
      </w:r>
      <w:r>
        <w:rPr>
          <w:szCs w:val="22"/>
          <w:lang w:eastAsia="en-AU" w:bidi="ar-SA"/>
        </w:rPr>
        <w:t xml:space="preserve">. </w:t>
      </w:r>
      <w:r w:rsidR="00916886">
        <w:rPr>
          <w:szCs w:val="22"/>
          <w:lang w:eastAsia="en-AU" w:bidi="ar-SA"/>
        </w:rPr>
        <w:t>The vehicle and negative control was water. Based on findings of a dose range finding study</w:t>
      </w:r>
      <w:r w:rsidR="00490A10">
        <w:rPr>
          <w:szCs w:val="22"/>
          <w:lang w:eastAsia="en-AU" w:bidi="ar-SA"/>
        </w:rPr>
        <w:t>,</w:t>
      </w:r>
      <w:r w:rsidR="00916886">
        <w:rPr>
          <w:szCs w:val="22"/>
          <w:lang w:eastAsia="en-AU" w:bidi="ar-SA"/>
        </w:rPr>
        <w:t xml:space="preserve"> concentrations ranging from 50 – 5000 </w:t>
      </w:r>
      <w:r w:rsidR="00916886">
        <w:rPr>
          <w:rFonts w:cs="Arial"/>
          <w:szCs w:val="22"/>
          <w:lang w:eastAsia="en-AU" w:bidi="ar-SA"/>
        </w:rPr>
        <w:t>µ</w:t>
      </w:r>
      <w:r w:rsidR="00916886">
        <w:rPr>
          <w:szCs w:val="22"/>
          <w:lang w:eastAsia="en-AU" w:bidi="ar-SA"/>
        </w:rPr>
        <w:t xml:space="preserve">g/plate were used in the test, which was performed in the presence and absence of metabolic activation (S9 mix). </w:t>
      </w:r>
      <w:r w:rsidR="000C5C35">
        <w:rPr>
          <w:szCs w:val="22"/>
          <w:lang w:eastAsia="en-AU" w:bidi="ar-SA"/>
        </w:rPr>
        <w:t xml:space="preserve">Positive control groups were also included. </w:t>
      </w:r>
      <w:r w:rsidR="00916886">
        <w:rPr>
          <w:szCs w:val="22"/>
          <w:lang w:eastAsia="en-AU" w:bidi="ar-SA"/>
        </w:rPr>
        <w:t xml:space="preserve">Triplicate plating was performed at each dose level, and the entire study was conducted twice to confirm the reproducibility of the results. </w:t>
      </w:r>
    </w:p>
    <w:p w14:paraId="1928F029" w14:textId="77777777" w:rsidR="006973A7" w:rsidRPr="006973A7" w:rsidRDefault="006973A7" w:rsidP="00236D78">
      <w:pPr>
        <w:rPr>
          <w:szCs w:val="22"/>
          <w:lang w:eastAsia="en-AU" w:bidi="ar-SA"/>
        </w:rPr>
      </w:pPr>
    </w:p>
    <w:p w14:paraId="01608B8B" w14:textId="6E7C9A83" w:rsidR="00DC5A33" w:rsidRDefault="00D776FE" w:rsidP="00236D78">
      <w:pPr>
        <w:rPr>
          <w:lang w:eastAsia="en-AU" w:bidi="ar-SA"/>
        </w:rPr>
      </w:pPr>
      <w:r w:rsidRPr="00D776FE">
        <w:rPr>
          <w:lang w:eastAsia="en-AU" w:bidi="ar-SA"/>
        </w:rPr>
        <w:t>No inc</w:t>
      </w:r>
      <w:r>
        <w:rPr>
          <w:lang w:eastAsia="en-AU" w:bidi="ar-SA"/>
        </w:rPr>
        <w:t xml:space="preserve">rease in the number of revertant colonies was observed at any concentration of potassium polyaspartate compared with the vehicle controls, in the presence or absence of metabolic activation. Revertant counts were within the historical negative control range observed at the test facility. The concurrent positive controls all produced the expected increases in the number of revertant colonies, confirming the validity of the test system. It was concluded that potassium polyaspartate was not mutagenic in </w:t>
      </w:r>
      <w:r w:rsidRPr="00D776FE">
        <w:rPr>
          <w:i/>
          <w:lang w:eastAsia="en-AU" w:bidi="ar-SA"/>
        </w:rPr>
        <w:t>S. typhimurium</w:t>
      </w:r>
      <w:r>
        <w:rPr>
          <w:lang w:eastAsia="en-AU" w:bidi="ar-SA"/>
        </w:rPr>
        <w:t xml:space="preserve"> strains TA1535, TA97a, TA98, TA100 and TA102. </w:t>
      </w:r>
    </w:p>
    <w:p w14:paraId="3D407945" w14:textId="0AAC1DD7" w:rsidR="00A94907" w:rsidRDefault="00A94907" w:rsidP="009449B9">
      <w:pPr>
        <w:pStyle w:val="Heading4"/>
        <w:rPr>
          <w:lang w:eastAsia="en-AU"/>
        </w:rPr>
      </w:pPr>
      <w:r>
        <w:rPr>
          <w:lang w:eastAsia="en-AU"/>
        </w:rPr>
        <w:t>In vitro micronucleus assay in human lymphocytes (</w:t>
      </w:r>
      <w:r w:rsidRPr="002C4CE9">
        <w:rPr>
          <w:lang w:eastAsia="en-AU"/>
        </w:rPr>
        <w:t>Mane 2014</w:t>
      </w:r>
      <w:r w:rsidR="002C4CE9" w:rsidRPr="002C4CE9">
        <w:rPr>
          <w:lang w:eastAsia="en-AU"/>
        </w:rPr>
        <w:t>b</w:t>
      </w:r>
      <w:r>
        <w:rPr>
          <w:lang w:eastAsia="en-AU"/>
        </w:rPr>
        <w:t>) Regulatory status: GLP; Conducted according to OECD TG 487</w:t>
      </w:r>
    </w:p>
    <w:p w14:paraId="6A61F8D2" w14:textId="2A63DD69" w:rsidR="00A94907" w:rsidRPr="00D776FE" w:rsidRDefault="00490A10" w:rsidP="00236D78">
      <w:pPr>
        <w:rPr>
          <w:lang w:eastAsia="en-AU" w:bidi="ar-SA"/>
        </w:rPr>
      </w:pPr>
      <w:r>
        <w:rPr>
          <w:lang w:eastAsia="en-AU" w:bidi="ar-SA"/>
        </w:rPr>
        <w:t xml:space="preserve">The test material for this study was </w:t>
      </w:r>
      <w:r>
        <w:rPr>
          <w:szCs w:val="22"/>
          <w:lang w:eastAsia="en-AU" w:bidi="ar-SA"/>
        </w:rPr>
        <w:t>p</w:t>
      </w:r>
      <w:r w:rsidRPr="006973A7">
        <w:rPr>
          <w:szCs w:val="22"/>
          <w:lang w:eastAsia="en-AU" w:bidi="ar-SA"/>
        </w:rPr>
        <w:t>otassium polyaspartate (Batch no. KHKS-040412; 99% w/w on dry matter)</w:t>
      </w:r>
      <w:r>
        <w:rPr>
          <w:szCs w:val="22"/>
          <w:lang w:eastAsia="en-AU" w:bidi="ar-SA"/>
        </w:rPr>
        <w:t xml:space="preserve"> and the vehicle was water. </w:t>
      </w:r>
      <w:r w:rsidR="00F34F13">
        <w:rPr>
          <w:szCs w:val="22"/>
          <w:lang w:eastAsia="en-AU" w:bidi="ar-SA"/>
        </w:rPr>
        <w:t xml:space="preserve">Based on preliminary solubility/precipitation and cytotoxicity studies, duplicate cultures of human peripheral blood lymphocytes were exposed to potassium polyaspartate at concentrations of 500, 1500 and 5000 </w:t>
      </w:r>
      <w:r w:rsidR="00F34F13">
        <w:rPr>
          <w:rFonts w:cs="Arial"/>
          <w:szCs w:val="22"/>
          <w:lang w:eastAsia="en-AU" w:bidi="ar-SA"/>
        </w:rPr>
        <w:t>µ</w:t>
      </w:r>
      <w:r w:rsidR="00F34F13">
        <w:rPr>
          <w:szCs w:val="22"/>
          <w:lang w:eastAsia="en-AU" w:bidi="ar-SA"/>
        </w:rPr>
        <w:t xml:space="preserve">g/mL. Three experiments were conducted. In experiments 1 and 2, proliferating cells were exposed to the test article in the absence of a metabolic activation system for 3 hours and 20 hours, respectively. In experiment 3, cells were exposed to the test article in the presence of metabolic activation (S9 mix) for 3 hours. </w:t>
      </w:r>
      <w:r w:rsidR="00F0443D">
        <w:rPr>
          <w:szCs w:val="22"/>
          <w:lang w:eastAsia="en-AU" w:bidi="ar-SA"/>
        </w:rPr>
        <w:t xml:space="preserve">In all three experiments, cells were exposed to the test article 48 hours after stimulation of mitosis by the addition of phytohaemagglutinin-M. </w:t>
      </w:r>
      <w:r w:rsidR="00F34F13">
        <w:rPr>
          <w:szCs w:val="22"/>
          <w:lang w:eastAsia="en-AU" w:bidi="ar-SA"/>
        </w:rPr>
        <w:t>Cytochalasin B was added to the cultures at 68 hours</w:t>
      </w:r>
      <w:r w:rsidR="00F0443D">
        <w:rPr>
          <w:szCs w:val="22"/>
          <w:lang w:eastAsia="en-AU" w:bidi="ar-SA"/>
        </w:rPr>
        <w:t xml:space="preserve"> after the start of the culture</w:t>
      </w:r>
      <w:r w:rsidR="00F34F13">
        <w:rPr>
          <w:szCs w:val="22"/>
          <w:lang w:eastAsia="en-AU" w:bidi="ar-SA"/>
        </w:rPr>
        <w:t xml:space="preserve">, and cells were harvested 96 hours after </w:t>
      </w:r>
      <w:r w:rsidR="00F0443D">
        <w:rPr>
          <w:szCs w:val="22"/>
          <w:lang w:eastAsia="en-AU" w:bidi="ar-SA"/>
        </w:rPr>
        <w:t>culture initiation</w:t>
      </w:r>
      <w:r w:rsidR="00F34F13">
        <w:rPr>
          <w:szCs w:val="22"/>
          <w:lang w:eastAsia="en-AU" w:bidi="ar-SA"/>
        </w:rPr>
        <w:t xml:space="preserve">. </w:t>
      </w:r>
      <w:r w:rsidR="005D7B08">
        <w:rPr>
          <w:szCs w:val="22"/>
          <w:lang w:eastAsia="en-AU" w:bidi="ar-SA"/>
        </w:rPr>
        <w:t xml:space="preserve">In addition to the test article and the vehicle control, negative and positive controls were also tested. The negative control was sodium chloride (0.9% w/v), while the positive controls for the experiments without metabolic activation were mitomycin C (directly acting clastogen) and vinblastine (directly acting aneugen). In the experiment conducted with metabolic activation the positive control was cyclophosphamide (indirectly acting clastogen). </w:t>
      </w:r>
      <w:r w:rsidR="00211F76">
        <w:rPr>
          <w:szCs w:val="22"/>
          <w:lang w:eastAsia="en-AU" w:bidi="ar-SA"/>
        </w:rPr>
        <w:t xml:space="preserve">For each exposure group, 2000 binucleated cells were evaluated microscopically for the presence of micronuclei. </w:t>
      </w:r>
    </w:p>
    <w:p w14:paraId="750F75FB" w14:textId="05C8140B" w:rsidR="001D5271" w:rsidRPr="002334A9" w:rsidRDefault="001D5271" w:rsidP="00236D78">
      <w:pPr>
        <w:rPr>
          <w:lang w:eastAsia="en-AU" w:bidi="ar-SA"/>
        </w:rPr>
      </w:pPr>
    </w:p>
    <w:p w14:paraId="67B59F58" w14:textId="1631DC94" w:rsidR="002334A9" w:rsidRDefault="002334A9" w:rsidP="002334A9">
      <w:pPr>
        <w:rPr>
          <w:szCs w:val="22"/>
          <w:lang w:eastAsia="en-AU" w:bidi="ar-SA"/>
        </w:rPr>
      </w:pPr>
      <w:r w:rsidRPr="002334A9">
        <w:rPr>
          <w:szCs w:val="22"/>
          <w:lang w:eastAsia="en-AU" w:bidi="ar-SA"/>
        </w:rPr>
        <w:t xml:space="preserve">Potassium polyaspartate did not induce cytotoxicity at concentrations up to 5000 µg/mL. No significant increases in the number of binucleated cells with micronuclei were observed in cultures treated with potassium polyaspartate compared with the vehicle and negative controls. </w:t>
      </w:r>
      <w:r>
        <w:rPr>
          <w:szCs w:val="22"/>
          <w:lang w:eastAsia="en-AU" w:bidi="ar-SA"/>
        </w:rPr>
        <w:t xml:space="preserve">The positive controls induced significant increases in the frequencies of micronucleated binucleated cells, confirming the validity of the test system. </w:t>
      </w:r>
      <w:r w:rsidR="00A2121C">
        <w:rPr>
          <w:szCs w:val="22"/>
          <w:lang w:eastAsia="en-AU" w:bidi="ar-SA"/>
        </w:rPr>
        <w:t xml:space="preserve">It was concluded that potassium polyaspartate was not clastogenic or aneugenic in human peripheral blood lymphocytes. </w:t>
      </w:r>
    </w:p>
    <w:p w14:paraId="11E7EA3E" w14:textId="3E81FDFF" w:rsidR="00B80A2A" w:rsidRDefault="00B80A2A" w:rsidP="009449B9">
      <w:pPr>
        <w:pStyle w:val="Heading3"/>
      </w:pPr>
      <w:bookmarkStart w:id="98" w:name="_Toc522276780"/>
      <w:bookmarkStart w:id="99" w:name="_Toc522780507"/>
      <w:bookmarkStart w:id="100" w:name="_Toc524342548"/>
      <w:r>
        <w:t>3.2.</w:t>
      </w:r>
      <w:r w:rsidR="003402A8">
        <w:t>6</w:t>
      </w:r>
      <w:r>
        <w:t xml:space="preserve"> Developmental and reproductive toxicity</w:t>
      </w:r>
      <w:bookmarkEnd w:id="98"/>
      <w:bookmarkEnd w:id="99"/>
      <w:bookmarkEnd w:id="100"/>
    </w:p>
    <w:p w14:paraId="6360C4F4" w14:textId="0A564DC9" w:rsidR="001D5271" w:rsidRDefault="007E6F16" w:rsidP="007E6F16">
      <w:pPr>
        <w:rPr>
          <w:lang w:val="en-AU"/>
        </w:rPr>
      </w:pPr>
      <w:r w:rsidRPr="00272753">
        <w:rPr>
          <w:lang w:val="en-AU"/>
        </w:rPr>
        <w:t xml:space="preserve">No </w:t>
      </w:r>
      <w:r>
        <w:rPr>
          <w:lang w:val="en-AU"/>
        </w:rPr>
        <w:t>reproductive or developmental toxicity</w:t>
      </w:r>
      <w:r w:rsidRPr="00272753">
        <w:rPr>
          <w:lang w:val="en-AU"/>
        </w:rPr>
        <w:t xml:space="preserve"> studies of </w:t>
      </w:r>
      <w:r>
        <w:rPr>
          <w:lang w:val="en-AU"/>
        </w:rPr>
        <w:t>potassium polyaspartate</w:t>
      </w:r>
      <w:r w:rsidRPr="00272753">
        <w:rPr>
          <w:lang w:val="en-AU"/>
        </w:rPr>
        <w:t xml:space="preserve"> were submitted in the application or located from other sources.</w:t>
      </w:r>
      <w:r>
        <w:rPr>
          <w:lang w:val="en-AU"/>
        </w:rPr>
        <w:t xml:space="preserve"> Such studies are not considered to be necessary based on the </w:t>
      </w:r>
      <w:r w:rsidR="005A202E" w:rsidRPr="006C1F6B">
        <w:rPr>
          <w:i/>
          <w:lang w:val="en-AU"/>
        </w:rPr>
        <w:t>in vitro</w:t>
      </w:r>
      <w:r w:rsidR="005A202E">
        <w:rPr>
          <w:lang w:val="en-AU"/>
        </w:rPr>
        <w:t xml:space="preserve"> </w:t>
      </w:r>
      <w:r>
        <w:rPr>
          <w:lang w:val="en-AU"/>
        </w:rPr>
        <w:t xml:space="preserve">findings </w:t>
      </w:r>
      <w:r w:rsidR="005A202E">
        <w:rPr>
          <w:lang w:val="en-AU"/>
        </w:rPr>
        <w:t xml:space="preserve">indicating that gastrointestinal </w:t>
      </w:r>
      <w:r w:rsidR="00B45686">
        <w:rPr>
          <w:lang w:val="en-AU"/>
        </w:rPr>
        <w:t xml:space="preserve">digestion </w:t>
      </w:r>
      <w:r w:rsidR="00E86C62">
        <w:rPr>
          <w:lang w:val="en-AU"/>
        </w:rPr>
        <w:t>and absorption</w:t>
      </w:r>
      <w:r>
        <w:rPr>
          <w:lang w:val="en-AU"/>
        </w:rPr>
        <w:t xml:space="preserve"> of potassium polyaspartate</w:t>
      </w:r>
      <w:r w:rsidR="00EB6C2D">
        <w:rPr>
          <w:lang w:val="en-AU"/>
        </w:rPr>
        <w:t xml:space="preserve"> </w:t>
      </w:r>
      <w:r w:rsidR="005A202E" w:rsidRPr="00F6045D">
        <w:rPr>
          <w:lang w:val="en-AU"/>
        </w:rPr>
        <w:t>is likely to be minimal</w:t>
      </w:r>
      <w:r>
        <w:rPr>
          <w:lang w:val="en-AU"/>
        </w:rPr>
        <w:t xml:space="preserve">, the absence of genotoxicity and no evidence of adverse effects on reproductive </w:t>
      </w:r>
      <w:r w:rsidR="00B45686">
        <w:rPr>
          <w:lang w:val="en-AU"/>
        </w:rPr>
        <w:t>tissues</w:t>
      </w:r>
      <w:r>
        <w:rPr>
          <w:lang w:val="en-AU"/>
        </w:rPr>
        <w:t xml:space="preserve"> or the oestrus cycle in the 90 day oral toxicity study. </w:t>
      </w:r>
    </w:p>
    <w:p w14:paraId="18C82E25" w14:textId="08D6404C" w:rsidR="00BF4AC7" w:rsidRDefault="00BF4AC7" w:rsidP="009449B9">
      <w:pPr>
        <w:pStyle w:val="Heading3"/>
        <w:rPr>
          <w:lang w:val="en-AU"/>
        </w:rPr>
      </w:pPr>
      <w:bookmarkStart w:id="101" w:name="_Toc522276781"/>
      <w:bookmarkStart w:id="102" w:name="_Toc522780508"/>
      <w:bookmarkStart w:id="103" w:name="_Toc524342549"/>
      <w:r>
        <w:rPr>
          <w:lang w:val="en-AU"/>
        </w:rPr>
        <w:t>3.2.</w:t>
      </w:r>
      <w:r w:rsidR="003402A8">
        <w:rPr>
          <w:lang w:val="en-AU"/>
        </w:rPr>
        <w:t>7</w:t>
      </w:r>
      <w:r>
        <w:rPr>
          <w:lang w:val="en-AU"/>
        </w:rPr>
        <w:t xml:space="preserve"> Special studies</w:t>
      </w:r>
      <w:bookmarkEnd w:id="101"/>
      <w:bookmarkEnd w:id="102"/>
      <w:bookmarkEnd w:id="103"/>
    </w:p>
    <w:p w14:paraId="1AD9F8A7" w14:textId="0B113993" w:rsidR="00BF4AC7" w:rsidRDefault="00BF4AC7" w:rsidP="009449B9">
      <w:pPr>
        <w:pStyle w:val="Heading4"/>
        <w:rPr>
          <w:lang w:val="en-AU"/>
        </w:rPr>
      </w:pPr>
      <w:r>
        <w:rPr>
          <w:lang w:val="en-AU"/>
        </w:rPr>
        <w:t>Immunotoxicity in vitro (</w:t>
      </w:r>
      <w:r w:rsidRPr="00844810">
        <w:rPr>
          <w:lang w:val="en-AU"/>
        </w:rPr>
        <w:t>Restani 2015</w:t>
      </w:r>
      <w:r>
        <w:rPr>
          <w:lang w:val="en-AU"/>
        </w:rPr>
        <w:t>) Regulatory status: Non-GLP; Non-guideline</w:t>
      </w:r>
    </w:p>
    <w:p w14:paraId="2EDA7BDE" w14:textId="36E16D7E" w:rsidR="00BF4AC7" w:rsidRDefault="00642D9F" w:rsidP="007E6F16">
      <w:pPr>
        <w:rPr>
          <w:lang w:val="en-AU"/>
        </w:rPr>
      </w:pPr>
      <w:r>
        <w:rPr>
          <w:lang w:val="en-AU"/>
        </w:rPr>
        <w:t xml:space="preserve">The potential stimulation of immune cells was assessed </w:t>
      </w:r>
      <w:r w:rsidRPr="00642D9F">
        <w:rPr>
          <w:i/>
          <w:lang w:val="en-AU"/>
        </w:rPr>
        <w:t>in vitro</w:t>
      </w:r>
      <w:r>
        <w:rPr>
          <w:lang w:val="en-AU"/>
        </w:rPr>
        <w:t xml:space="preserve"> using the human </w:t>
      </w:r>
      <w:r w:rsidR="00F22F03">
        <w:rPr>
          <w:lang w:val="en-AU"/>
        </w:rPr>
        <w:t>monocytic</w:t>
      </w:r>
      <w:r>
        <w:rPr>
          <w:lang w:val="en-AU"/>
        </w:rPr>
        <w:t xml:space="preserve"> cell line THP-1. </w:t>
      </w:r>
      <w:r w:rsidR="00F22F03">
        <w:rPr>
          <w:lang w:val="en-AU"/>
        </w:rPr>
        <w:t>After an initial investigation of cytotoxicity,</w:t>
      </w:r>
      <w:r w:rsidR="00927C6E">
        <w:rPr>
          <w:lang w:val="en-AU"/>
        </w:rPr>
        <w:t xml:space="preserve"> </w:t>
      </w:r>
      <w:r w:rsidR="00F22F03">
        <w:rPr>
          <w:lang w:val="en-AU"/>
        </w:rPr>
        <w:t xml:space="preserve">THP-1 cells were incubated for 24 hours in the presence or absence of potassium polyaspartate </w:t>
      </w:r>
      <w:r w:rsidR="00927C6E">
        <w:rPr>
          <w:lang w:val="en-AU"/>
        </w:rPr>
        <w:t xml:space="preserve">at 2 mg/mL. Expression of CD86 and release of the cytokine interleukin-8 (IL-8) were measured using flow cytometry and ELISA methods, respectively. Lipopolysaccharide from </w:t>
      </w:r>
      <w:r w:rsidR="00927C6E" w:rsidRPr="00927C6E">
        <w:rPr>
          <w:i/>
          <w:lang w:val="en-AU"/>
        </w:rPr>
        <w:t>Escherichia coli</w:t>
      </w:r>
      <w:r w:rsidR="00927C6E">
        <w:rPr>
          <w:lang w:val="en-AU"/>
        </w:rPr>
        <w:t xml:space="preserve"> serotype 0127:B8 (LPS) was used as a positive control. </w:t>
      </w:r>
    </w:p>
    <w:p w14:paraId="01324302" w14:textId="2AA61527" w:rsidR="00EB57BA" w:rsidRDefault="00EB57BA" w:rsidP="007E6F16">
      <w:pPr>
        <w:rPr>
          <w:lang w:val="en-AU"/>
        </w:rPr>
      </w:pPr>
    </w:p>
    <w:p w14:paraId="40863FD3" w14:textId="4D660E4A" w:rsidR="00EB57BA" w:rsidRDefault="00EB57BA" w:rsidP="007E6F16">
      <w:pPr>
        <w:rPr>
          <w:lang w:val="en-AU"/>
        </w:rPr>
      </w:pPr>
      <w:r>
        <w:rPr>
          <w:lang w:val="en-AU"/>
        </w:rPr>
        <w:t xml:space="preserve">Potassium polyaspartate did not induce up-regulation of CD86 expression or release of IL-8. In contrast, the positive control LPS induced a significant increase in both CD86 expression and IL-8 release. </w:t>
      </w:r>
      <w:r w:rsidR="00FF1CE4">
        <w:rPr>
          <w:lang w:val="en-AU"/>
        </w:rPr>
        <w:t xml:space="preserve">The authors concluded that potassium polyaspartate did not induce any activation of immune cells under the conditions of this study. </w:t>
      </w:r>
    </w:p>
    <w:p w14:paraId="48CAC4E9" w14:textId="13ABFF27" w:rsidR="00283465" w:rsidRDefault="00283465" w:rsidP="007E6F16">
      <w:pPr>
        <w:rPr>
          <w:lang w:val="en-AU"/>
        </w:rPr>
      </w:pPr>
      <w:bookmarkStart w:id="104" w:name="_Toc522276782"/>
      <w:bookmarkEnd w:id="104"/>
    </w:p>
    <w:p w14:paraId="66A2C690" w14:textId="5391BBD0" w:rsidR="00D4571B" w:rsidRDefault="00D4571B" w:rsidP="009449B9">
      <w:pPr>
        <w:pStyle w:val="Heading2"/>
        <w:rPr>
          <w:lang w:val="en-AU"/>
        </w:rPr>
      </w:pPr>
      <w:bookmarkStart w:id="105" w:name="_Toc521330351"/>
      <w:bookmarkStart w:id="106" w:name="_Toc522276784"/>
      <w:bookmarkStart w:id="107" w:name="_Toc522780509"/>
      <w:bookmarkStart w:id="108" w:name="_Toc524342550"/>
      <w:r>
        <w:rPr>
          <w:lang w:val="en-AU"/>
        </w:rPr>
        <w:t>3.3 Assessments by other agencies</w:t>
      </w:r>
      <w:bookmarkEnd w:id="105"/>
      <w:bookmarkEnd w:id="106"/>
      <w:bookmarkEnd w:id="107"/>
      <w:bookmarkEnd w:id="108"/>
    </w:p>
    <w:p w14:paraId="18DEF60D" w14:textId="5334D26C" w:rsidR="00D4571B" w:rsidRDefault="00D4571B" w:rsidP="00D4571B">
      <w:pPr>
        <w:rPr>
          <w:lang w:val="en-AU" w:eastAsia="en-AU" w:bidi="ar-SA"/>
        </w:rPr>
      </w:pPr>
      <w:r>
        <w:rPr>
          <w:lang w:val="en-AU" w:eastAsia="en-AU" w:bidi="ar-SA"/>
        </w:rPr>
        <w:t>The European Food Safety Authority (EFSA) reviewed the safety of potassium polyaspartate as a food additive and published its Opinion in March 2016</w:t>
      </w:r>
      <w:r w:rsidR="001B32BF">
        <w:rPr>
          <w:lang w:val="en-AU" w:eastAsia="en-AU" w:bidi="ar-SA"/>
        </w:rPr>
        <w:t xml:space="preserve"> (EFSA, 2016)</w:t>
      </w:r>
      <w:r>
        <w:rPr>
          <w:lang w:val="en-AU" w:eastAsia="en-AU" w:bidi="ar-SA"/>
        </w:rPr>
        <w:t xml:space="preserve">. </w:t>
      </w:r>
    </w:p>
    <w:p w14:paraId="3148B13B" w14:textId="15DFEEF6" w:rsidR="00D4571B" w:rsidRDefault="00D4571B" w:rsidP="00D4571B">
      <w:pPr>
        <w:rPr>
          <w:lang w:val="en-AU" w:eastAsia="en-AU" w:bidi="ar-SA"/>
        </w:rPr>
      </w:pPr>
    </w:p>
    <w:p w14:paraId="4ADF1EBF" w14:textId="31E19234" w:rsidR="00D4571B" w:rsidRDefault="00D4571B" w:rsidP="00D4571B">
      <w:pPr>
        <w:rPr>
          <w:lang w:val="en-AU" w:eastAsia="en-AU" w:bidi="ar-SA"/>
        </w:rPr>
      </w:pPr>
      <w:r>
        <w:rPr>
          <w:lang w:val="en-AU" w:eastAsia="en-AU" w:bidi="ar-SA"/>
        </w:rPr>
        <w:t>EFSA concluded that the available data fulfilled</w:t>
      </w:r>
      <w:r w:rsidRPr="00D4571B">
        <w:rPr>
          <w:lang w:val="en-AU" w:eastAsia="en-AU" w:bidi="ar-SA"/>
        </w:rPr>
        <w:t xml:space="preserve"> </w:t>
      </w:r>
      <w:r>
        <w:rPr>
          <w:lang w:val="en-AU" w:eastAsia="en-AU" w:bidi="ar-SA"/>
        </w:rPr>
        <w:t xml:space="preserve">European </w:t>
      </w:r>
      <w:r w:rsidRPr="00D4571B">
        <w:rPr>
          <w:lang w:val="en-AU" w:eastAsia="en-AU" w:bidi="ar-SA"/>
        </w:rPr>
        <w:t xml:space="preserve">requirements for evaluation of </w:t>
      </w:r>
      <w:r>
        <w:rPr>
          <w:lang w:val="en-AU" w:eastAsia="en-AU" w:bidi="ar-SA"/>
        </w:rPr>
        <w:t>a</w:t>
      </w:r>
      <w:r w:rsidRPr="00D4571B">
        <w:rPr>
          <w:lang w:val="en-AU" w:eastAsia="en-AU" w:bidi="ar-SA"/>
        </w:rPr>
        <w:t xml:space="preserve"> new food additive and did not request</w:t>
      </w:r>
      <w:r>
        <w:rPr>
          <w:lang w:val="en-AU" w:eastAsia="en-AU" w:bidi="ar-SA"/>
        </w:rPr>
        <w:t xml:space="preserve"> </w:t>
      </w:r>
      <w:r w:rsidRPr="00D4571B">
        <w:rPr>
          <w:lang w:val="en-AU" w:eastAsia="en-AU" w:bidi="ar-SA"/>
        </w:rPr>
        <w:t>additional testing for chronic toxicity and carcinogenicity</w:t>
      </w:r>
      <w:r w:rsidR="00C93401">
        <w:rPr>
          <w:lang w:val="en-AU" w:eastAsia="en-AU" w:bidi="ar-SA"/>
        </w:rPr>
        <w:t xml:space="preserve"> or </w:t>
      </w:r>
      <w:r w:rsidRPr="00D4571B">
        <w:rPr>
          <w:lang w:val="en-AU" w:eastAsia="en-AU" w:bidi="ar-SA"/>
        </w:rPr>
        <w:t>repro</w:t>
      </w:r>
      <w:r w:rsidR="00900D60">
        <w:rPr>
          <w:lang w:val="en-AU" w:eastAsia="en-AU" w:bidi="ar-SA"/>
        </w:rPr>
        <w:t xml:space="preserve">ductive </w:t>
      </w:r>
      <w:r w:rsidRPr="00D4571B">
        <w:rPr>
          <w:lang w:val="en-AU" w:eastAsia="en-AU" w:bidi="ar-SA"/>
        </w:rPr>
        <w:t>and developmental</w:t>
      </w:r>
      <w:r>
        <w:rPr>
          <w:lang w:val="en-AU" w:eastAsia="en-AU" w:bidi="ar-SA"/>
        </w:rPr>
        <w:t xml:space="preserve"> </w:t>
      </w:r>
      <w:r w:rsidRPr="00D4571B">
        <w:rPr>
          <w:lang w:val="en-AU" w:eastAsia="en-AU" w:bidi="ar-SA"/>
        </w:rPr>
        <w:t xml:space="preserve">toxicity. </w:t>
      </w:r>
      <w:r>
        <w:rPr>
          <w:lang w:val="en-AU" w:eastAsia="en-AU" w:bidi="ar-SA"/>
        </w:rPr>
        <w:t>Maximum estimated dietary e</w:t>
      </w:r>
      <w:r w:rsidRPr="00D4571B">
        <w:rPr>
          <w:lang w:val="en-AU" w:eastAsia="en-AU" w:bidi="ar-SA"/>
        </w:rPr>
        <w:t xml:space="preserve">xposure estimates to potassium polyaspartate from its proposed use </w:t>
      </w:r>
      <w:r w:rsidR="00F0443D" w:rsidRPr="00D4571B">
        <w:rPr>
          <w:lang w:val="en-AU" w:eastAsia="en-AU" w:bidi="ar-SA"/>
        </w:rPr>
        <w:t>were calculated</w:t>
      </w:r>
      <w:r w:rsidRPr="00D4571B">
        <w:rPr>
          <w:lang w:val="en-AU" w:eastAsia="en-AU" w:bidi="ar-SA"/>
        </w:rPr>
        <w:t xml:space="preserve"> </w:t>
      </w:r>
      <w:r>
        <w:rPr>
          <w:lang w:val="en-AU" w:eastAsia="en-AU" w:bidi="ar-SA"/>
        </w:rPr>
        <w:t xml:space="preserve">to </w:t>
      </w:r>
      <w:r w:rsidRPr="00D4571B">
        <w:rPr>
          <w:lang w:val="en-AU" w:eastAsia="en-AU" w:bidi="ar-SA"/>
        </w:rPr>
        <w:t>be 1.8 mg/kg bw</w:t>
      </w:r>
      <w:r w:rsidR="00EB6C2D">
        <w:rPr>
          <w:lang w:val="en-AU" w:eastAsia="en-AU" w:bidi="ar-SA"/>
        </w:rPr>
        <w:t>/</w:t>
      </w:r>
      <w:r w:rsidRPr="00D4571B">
        <w:rPr>
          <w:lang w:val="en-AU" w:eastAsia="en-AU" w:bidi="ar-SA"/>
        </w:rPr>
        <w:t>day in the elderly and 1.4 mg/kg bw</w:t>
      </w:r>
      <w:r w:rsidR="00EB6C2D">
        <w:rPr>
          <w:lang w:val="en-AU" w:eastAsia="en-AU" w:bidi="ar-SA"/>
        </w:rPr>
        <w:t>/</w:t>
      </w:r>
      <w:r>
        <w:rPr>
          <w:lang w:val="en-AU" w:eastAsia="en-AU" w:bidi="ar-SA"/>
        </w:rPr>
        <w:t xml:space="preserve"> </w:t>
      </w:r>
      <w:r w:rsidRPr="00D4571B">
        <w:rPr>
          <w:lang w:val="en-AU" w:eastAsia="en-AU" w:bidi="ar-SA"/>
        </w:rPr>
        <w:t>day in adults, resulting in a margin of safety of approximately 550</w:t>
      </w:r>
      <w:r>
        <w:rPr>
          <w:lang w:val="en-AU" w:eastAsia="en-AU" w:bidi="ar-SA"/>
        </w:rPr>
        <w:t xml:space="preserve"> in comparison with the NOAEL of 1000 mg/kg bw/day identified in the 90-day oral toxicity study</w:t>
      </w:r>
      <w:r w:rsidRPr="00D4571B">
        <w:rPr>
          <w:lang w:val="en-AU" w:eastAsia="en-AU" w:bidi="ar-SA"/>
        </w:rPr>
        <w:t xml:space="preserve">. </w:t>
      </w:r>
      <w:r>
        <w:rPr>
          <w:lang w:val="en-AU" w:eastAsia="en-AU" w:bidi="ar-SA"/>
        </w:rPr>
        <w:t xml:space="preserve">It was </w:t>
      </w:r>
      <w:r w:rsidRPr="00D4571B">
        <w:rPr>
          <w:lang w:val="en-AU" w:eastAsia="en-AU" w:bidi="ar-SA"/>
        </w:rPr>
        <w:t>concluded that there</w:t>
      </w:r>
      <w:r w:rsidR="007E6DCB">
        <w:rPr>
          <w:lang w:val="en-AU" w:eastAsia="en-AU" w:bidi="ar-SA"/>
        </w:rPr>
        <w:t xml:space="preserve"> </w:t>
      </w:r>
      <w:r w:rsidRPr="00D4571B">
        <w:rPr>
          <w:lang w:val="en-AU" w:eastAsia="en-AU" w:bidi="ar-SA"/>
        </w:rPr>
        <w:t>was no safety concern from the proposed use of potassium polyaspartate</w:t>
      </w:r>
      <w:r w:rsidR="00C27961">
        <w:rPr>
          <w:lang w:val="en-AU" w:eastAsia="en-AU" w:bidi="ar-SA"/>
        </w:rPr>
        <w:t xml:space="preserve"> at </w:t>
      </w:r>
      <w:r w:rsidR="00BA2ECB">
        <w:rPr>
          <w:lang w:val="en-AU" w:eastAsia="en-AU" w:bidi="ar-SA"/>
        </w:rPr>
        <w:t xml:space="preserve">levels from </w:t>
      </w:r>
      <w:r w:rsidR="00C27961">
        <w:rPr>
          <w:lang w:val="en-AU" w:eastAsia="en-AU" w:bidi="ar-SA"/>
        </w:rPr>
        <w:t>100</w:t>
      </w:r>
      <w:r w:rsidR="00BA2ECB">
        <w:rPr>
          <w:lang w:val="en-AU" w:eastAsia="en-AU" w:bidi="ar-SA"/>
        </w:rPr>
        <w:t>-200</w:t>
      </w:r>
      <w:r w:rsidR="00A07470">
        <w:rPr>
          <w:lang w:val="en-AU" w:eastAsia="en-AU" w:bidi="ar-SA"/>
        </w:rPr>
        <w:t xml:space="preserve"> </w:t>
      </w:r>
      <w:r w:rsidR="00C27961">
        <w:rPr>
          <w:lang w:val="en-AU" w:eastAsia="en-AU" w:bidi="ar-SA"/>
        </w:rPr>
        <w:t>mg/L</w:t>
      </w:r>
      <w:r w:rsidR="007A2857">
        <w:rPr>
          <w:lang w:val="en-AU" w:eastAsia="en-AU" w:bidi="ar-SA"/>
        </w:rPr>
        <w:t xml:space="preserve"> and </w:t>
      </w:r>
      <w:r w:rsidR="00C93401">
        <w:rPr>
          <w:lang w:val="en-AU" w:eastAsia="en-AU" w:bidi="ar-SA"/>
        </w:rPr>
        <w:t xml:space="preserve">at </w:t>
      </w:r>
      <w:r w:rsidR="007A2857">
        <w:rPr>
          <w:lang w:val="en-AU" w:eastAsia="en-AU" w:bidi="ar-SA"/>
        </w:rPr>
        <w:t>a maximum limit of 300mg/L</w:t>
      </w:r>
      <w:r w:rsidRPr="00D4571B">
        <w:rPr>
          <w:lang w:val="en-AU" w:eastAsia="en-AU" w:bidi="ar-SA"/>
        </w:rPr>
        <w:t>.</w:t>
      </w:r>
    </w:p>
    <w:p w14:paraId="2C951BD3" w14:textId="5292CC9B" w:rsidR="00900D60" w:rsidRDefault="00900D60" w:rsidP="00D4571B">
      <w:pPr>
        <w:rPr>
          <w:lang w:val="en-AU" w:eastAsia="en-AU" w:bidi="ar-SA"/>
        </w:rPr>
      </w:pPr>
    </w:p>
    <w:p w14:paraId="64C045BA" w14:textId="1764BAAE" w:rsidR="00900D60" w:rsidRDefault="00900D60" w:rsidP="00D4571B">
      <w:pPr>
        <w:rPr>
          <w:lang w:val="en-AU" w:eastAsia="en-AU" w:bidi="ar-SA"/>
        </w:rPr>
      </w:pPr>
      <w:r>
        <w:rPr>
          <w:lang w:val="en-AU" w:eastAsia="en-AU" w:bidi="ar-SA"/>
        </w:rPr>
        <w:t xml:space="preserve">Potassium polyaspartate has now been </w:t>
      </w:r>
      <w:r w:rsidR="008E34D9">
        <w:rPr>
          <w:lang w:val="en-AU" w:eastAsia="en-AU" w:bidi="ar-SA"/>
        </w:rPr>
        <w:t xml:space="preserve">approved </w:t>
      </w:r>
      <w:r>
        <w:rPr>
          <w:lang w:val="en-AU" w:eastAsia="en-AU" w:bidi="ar-SA"/>
        </w:rPr>
        <w:t>by the European Commission as a food additive for tartaric stabilisation in wine</w:t>
      </w:r>
      <w:r w:rsidR="007A2857">
        <w:rPr>
          <w:lang w:val="en-AU" w:eastAsia="en-AU" w:bidi="ar-SA"/>
        </w:rPr>
        <w:t xml:space="preserve"> at a maximum concentration of 100 mg/L</w:t>
      </w:r>
      <w:r w:rsidR="00496C72">
        <w:rPr>
          <w:lang w:val="en-AU" w:eastAsia="en-AU" w:bidi="ar-SA"/>
        </w:rPr>
        <w:t xml:space="preserve"> (E</w:t>
      </w:r>
      <w:r w:rsidR="008E34D9">
        <w:rPr>
          <w:lang w:val="en-AU" w:eastAsia="en-AU" w:bidi="ar-SA"/>
        </w:rPr>
        <w:t xml:space="preserve">uropean </w:t>
      </w:r>
      <w:r w:rsidR="00496C72">
        <w:rPr>
          <w:lang w:val="en-AU" w:eastAsia="en-AU" w:bidi="ar-SA"/>
        </w:rPr>
        <w:t>C</w:t>
      </w:r>
      <w:r w:rsidR="008E34D9">
        <w:rPr>
          <w:lang w:val="en-AU" w:eastAsia="en-AU" w:bidi="ar-SA"/>
        </w:rPr>
        <w:t>ommission</w:t>
      </w:r>
      <w:r w:rsidR="00496C72">
        <w:rPr>
          <w:lang w:val="en-AU" w:eastAsia="en-AU" w:bidi="ar-SA"/>
        </w:rPr>
        <w:t>, 2017)</w:t>
      </w:r>
      <w:r>
        <w:rPr>
          <w:lang w:val="en-AU" w:eastAsia="en-AU" w:bidi="ar-SA"/>
        </w:rPr>
        <w:t xml:space="preserve">. </w:t>
      </w:r>
    </w:p>
    <w:p w14:paraId="27573207" w14:textId="3A52039F" w:rsidR="00D4571B" w:rsidRDefault="00D4571B" w:rsidP="00D4571B">
      <w:pPr>
        <w:rPr>
          <w:lang w:val="en-AU" w:eastAsia="en-AU" w:bidi="ar-SA"/>
        </w:rPr>
      </w:pPr>
    </w:p>
    <w:p w14:paraId="7761CAF7" w14:textId="39D2F6EF" w:rsidR="00D4571B" w:rsidRDefault="00875441" w:rsidP="00D4571B">
      <w:pPr>
        <w:rPr>
          <w:lang w:val="en-AU" w:eastAsia="en-AU" w:bidi="ar-SA"/>
        </w:rPr>
      </w:pPr>
      <w:r>
        <w:rPr>
          <w:lang w:val="en-AU" w:eastAsia="en-AU" w:bidi="ar-SA"/>
        </w:rPr>
        <w:t xml:space="preserve">Potassium polyaspartate </w:t>
      </w:r>
      <w:r w:rsidR="008E34D9">
        <w:rPr>
          <w:lang w:val="en-AU" w:eastAsia="en-AU" w:bidi="ar-SA"/>
        </w:rPr>
        <w:t>as a stabiliser in wine at a maximum use level of 100</w:t>
      </w:r>
      <w:r w:rsidR="00CE2EBE">
        <w:rPr>
          <w:lang w:val="en-AU" w:eastAsia="en-AU" w:bidi="ar-SA"/>
        </w:rPr>
        <w:t xml:space="preserve"> </w:t>
      </w:r>
      <w:r w:rsidR="008E34D9">
        <w:rPr>
          <w:lang w:val="en-AU" w:eastAsia="en-AU" w:bidi="ar-SA"/>
        </w:rPr>
        <w:t xml:space="preserve">mg/L </w:t>
      </w:r>
      <w:r>
        <w:rPr>
          <w:lang w:val="en-AU" w:eastAsia="en-AU" w:bidi="ar-SA"/>
        </w:rPr>
        <w:t>was added</w:t>
      </w:r>
      <w:r w:rsidR="00D4571B">
        <w:rPr>
          <w:lang w:val="en-AU" w:eastAsia="en-AU" w:bidi="ar-SA"/>
        </w:rPr>
        <w:t xml:space="preserve"> to the priority list of substances for evaluation by </w:t>
      </w:r>
      <w:r w:rsidR="00977470">
        <w:rPr>
          <w:lang w:val="en-AU" w:eastAsia="en-AU" w:bidi="ar-SA"/>
        </w:rPr>
        <w:t>JECFA</w:t>
      </w:r>
      <w:r>
        <w:rPr>
          <w:lang w:val="en-AU" w:eastAsia="en-AU" w:bidi="ar-SA"/>
        </w:rPr>
        <w:t xml:space="preserve"> </w:t>
      </w:r>
      <w:r w:rsidR="001B32BF">
        <w:rPr>
          <w:lang w:val="en-AU" w:eastAsia="en-AU" w:bidi="ar-SA"/>
        </w:rPr>
        <w:t xml:space="preserve">at </w:t>
      </w:r>
      <w:r w:rsidR="008E34D9">
        <w:rPr>
          <w:lang w:val="en-AU" w:eastAsia="en-AU" w:bidi="ar-SA"/>
        </w:rPr>
        <w:t>CCFA’s</w:t>
      </w:r>
      <w:r w:rsidR="001B32BF">
        <w:rPr>
          <w:lang w:val="en-AU" w:eastAsia="en-AU" w:bidi="ar-SA"/>
        </w:rPr>
        <w:t xml:space="preserve"> 50</w:t>
      </w:r>
      <w:r w:rsidR="001B32BF" w:rsidRPr="001B32BF">
        <w:rPr>
          <w:lang w:val="en-AU" w:eastAsia="en-AU" w:bidi="ar-SA"/>
        </w:rPr>
        <w:t>th</w:t>
      </w:r>
      <w:r w:rsidR="001B32BF">
        <w:rPr>
          <w:lang w:val="en-AU" w:eastAsia="en-AU" w:bidi="ar-SA"/>
        </w:rPr>
        <w:t xml:space="preserve"> session </w:t>
      </w:r>
      <w:r>
        <w:rPr>
          <w:lang w:val="en-AU" w:eastAsia="en-AU" w:bidi="ar-SA"/>
        </w:rPr>
        <w:t>in 2018</w:t>
      </w:r>
      <w:r w:rsidR="001B32BF">
        <w:rPr>
          <w:lang w:val="en-AU" w:eastAsia="en-AU" w:bidi="ar-SA"/>
        </w:rPr>
        <w:t xml:space="preserve"> (Codex, 2018)</w:t>
      </w:r>
      <w:r w:rsidR="00D4571B">
        <w:rPr>
          <w:lang w:val="en-AU" w:eastAsia="en-AU" w:bidi="ar-SA"/>
        </w:rPr>
        <w:t xml:space="preserve">. </w:t>
      </w:r>
    </w:p>
    <w:p w14:paraId="369A623C" w14:textId="33BC7F1A" w:rsidR="00EA69DD" w:rsidRDefault="00EA69DD" w:rsidP="00D4571B">
      <w:pPr>
        <w:rPr>
          <w:lang w:val="en-AU" w:eastAsia="en-AU" w:bidi="ar-SA"/>
        </w:rPr>
      </w:pPr>
    </w:p>
    <w:p w14:paraId="6164C476" w14:textId="396BD9FE" w:rsidR="00EA69DD" w:rsidRDefault="00EA69DD" w:rsidP="00E95CA7">
      <w:pPr>
        <w:rPr>
          <w:lang w:val="en-AU" w:eastAsia="en-AU" w:bidi="ar-SA"/>
        </w:rPr>
      </w:pPr>
      <w:r>
        <w:rPr>
          <w:lang w:val="en-AU" w:eastAsia="en-AU" w:bidi="ar-SA"/>
        </w:rPr>
        <w:t>JECFA has evaluated aspartic acid as a flavouring agent (</w:t>
      </w:r>
      <w:r w:rsidR="007F31EA">
        <w:rPr>
          <w:lang w:val="en-AU" w:eastAsia="en-AU" w:bidi="ar-SA"/>
        </w:rPr>
        <w:t>WHO 2006</w:t>
      </w:r>
      <w:r w:rsidR="00E95CA7">
        <w:rPr>
          <w:lang w:val="en-AU" w:eastAsia="en-AU" w:bidi="ar-SA"/>
        </w:rPr>
        <w:t>). The Committee concluded that there was n</w:t>
      </w:r>
      <w:r w:rsidR="00E95CA7" w:rsidRPr="00E95CA7">
        <w:rPr>
          <w:lang w:val="en-AU" w:eastAsia="en-AU" w:bidi="ar-SA"/>
        </w:rPr>
        <w:t xml:space="preserve">o safety concern at current levels of intake </w:t>
      </w:r>
      <w:r w:rsidR="00E95CA7">
        <w:rPr>
          <w:lang w:val="en-AU" w:eastAsia="en-AU" w:bidi="ar-SA"/>
        </w:rPr>
        <w:t xml:space="preserve">when used as a flavouring agent. </w:t>
      </w:r>
      <w:r w:rsidR="004C0EAB">
        <w:rPr>
          <w:lang w:val="en-AU" w:eastAsia="en-AU" w:bidi="ar-SA"/>
        </w:rPr>
        <w:t xml:space="preserve">Aspartic acid was not </w:t>
      </w:r>
      <w:r w:rsidR="004C0EAB">
        <w:t xml:space="preserve">evaluated using JECFA’s Procedure for the Safety Evaluation of Flavouring Agents, as </w:t>
      </w:r>
      <w:r w:rsidR="00E164CD">
        <w:rPr>
          <w:lang w:val="en-AU" w:eastAsia="en-AU" w:bidi="ar-SA"/>
        </w:rPr>
        <w:t>it</w:t>
      </w:r>
      <w:r w:rsidR="00E95CA7" w:rsidRPr="00E95CA7">
        <w:rPr>
          <w:lang w:val="en-AU" w:eastAsia="en-AU" w:bidi="ar-SA"/>
        </w:rPr>
        <w:t xml:space="preserve"> is a macronutrient and a normal component of protein</w:t>
      </w:r>
      <w:r w:rsidR="004C0EAB">
        <w:rPr>
          <w:lang w:val="en-AU" w:eastAsia="en-AU" w:bidi="ar-SA"/>
        </w:rPr>
        <w:t>. As such</w:t>
      </w:r>
      <w:r w:rsidR="00E95CA7" w:rsidRPr="00E95CA7">
        <w:rPr>
          <w:lang w:val="en-AU" w:eastAsia="en-AU" w:bidi="ar-SA"/>
        </w:rPr>
        <w:t>, human exposure through food is orders of magnitude higher than the anticipated level of exposure from use as a flavouring agent.</w:t>
      </w:r>
    </w:p>
    <w:p w14:paraId="7D79A313" w14:textId="1E8417D1" w:rsidR="00EA69DD" w:rsidRDefault="00EA69DD" w:rsidP="00D4571B">
      <w:pPr>
        <w:rPr>
          <w:lang w:val="en-AU" w:eastAsia="en-AU" w:bidi="ar-SA"/>
        </w:rPr>
      </w:pPr>
    </w:p>
    <w:p w14:paraId="4C925EE7" w14:textId="3DB4B792" w:rsidR="00EA69DD" w:rsidRPr="00D4571B" w:rsidRDefault="00EA69DD" w:rsidP="00D4571B">
      <w:pPr>
        <w:rPr>
          <w:lang w:val="en-AU" w:eastAsia="en-AU" w:bidi="ar-SA"/>
        </w:rPr>
      </w:pPr>
      <w:r>
        <w:rPr>
          <w:lang w:val="en-AU" w:eastAsia="en-AU" w:bidi="ar-SA"/>
        </w:rPr>
        <w:t>Sodium polyaspartate has been assessed by NICNAS (2001) with respect to use as an ingredient in liquid formulations used within the water treatment industry. The products were to be used within cooling and heating systems where they act as scale inhibitors. This evaluation noted that sodium polyaspartate is of very low acute toxicity and mutagenicity is</w:t>
      </w:r>
      <w:r w:rsidR="007F31EA">
        <w:rPr>
          <w:lang w:val="en-AU" w:eastAsia="en-AU" w:bidi="ar-SA"/>
        </w:rPr>
        <w:t xml:space="preserve"> not expected to occur. It was co</w:t>
      </w:r>
      <w:r>
        <w:rPr>
          <w:lang w:val="en-AU" w:eastAsia="en-AU" w:bidi="ar-SA"/>
        </w:rPr>
        <w:t xml:space="preserve">ncluded that releases from industrial use are unlikely to pose a significant hazard to human health. </w:t>
      </w:r>
    </w:p>
    <w:p w14:paraId="04157658" w14:textId="77777777" w:rsidR="007E6F16" w:rsidRPr="00EC1137" w:rsidRDefault="007E6F16" w:rsidP="007E6F16">
      <w:pPr>
        <w:rPr>
          <w:sz w:val="20"/>
          <w:lang w:eastAsia="en-AU" w:bidi="ar-SA"/>
        </w:rPr>
      </w:pPr>
    </w:p>
    <w:p w14:paraId="6E26BEBF" w14:textId="77777777" w:rsidR="007E528E" w:rsidRDefault="00926912" w:rsidP="007E528E">
      <w:pPr>
        <w:pStyle w:val="FSCh1Chap"/>
      </w:pPr>
      <w:bookmarkStart w:id="109" w:name="_Toc521330352"/>
      <w:bookmarkStart w:id="110" w:name="_Toc522276785"/>
      <w:bookmarkStart w:id="111" w:name="_Toc522780510"/>
      <w:bookmarkStart w:id="112" w:name="_Toc524342551"/>
      <w:r>
        <w:t>4</w:t>
      </w:r>
      <w:r w:rsidR="00536132">
        <w:t xml:space="preserve"> Dietary exposure assessment</w:t>
      </w:r>
      <w:bookmarkStart w:id="113" w:name="_Toc521330353"/>
      <w:bookmarkStart w:id="114" w:name="_Toc522276786"/>
      <w:bookmarkStart w:id="115" w:name="_Toc522780511"/>
      <w:bookmarkEnd w:id="109"/>
      <w:bookmarkEnd w:id="110"/>
      <w:bookmarkEnd w:id="111"/>
      <w:bookmarkEnd w:id="112"/>
    </w:p>
    <w:p w14:paraId="1E153A2D" w14:textId="5ED00A44" w:rsidR="003046E6" w:rsidRPr="008A283C" w:rsidRDefault="00926912" w:rsidP="009449B9">
      <w:pPr>
        <w:pStyle w:val="Heading2"/>
      </w:pPr>
      <w:bookmarkStart w:id="116" w:name="_Toc524342552"/>
      <w:r>
        <w:t>4</w:t>
      </w:r>
      <w:r w:rsidR="003046E6">
        <w:t xml:space="preserve">.1 </w:t>
      </w:r>
      <w:r w:rsidR="000B75ED">
        <w:t xml:space="preserve">Objective </w:t>
      </w:r>
      <w:r w:rsidR="00E43D84">
        <w:t xml:space="preserve">for the </w:t>
      </w:r>
      <w:r w:rsidR="000B75ED">
        <w:t>dietary exposure assessment</w:t>
      </w:r>
      <w:bookmarkEnd w:id="113"/>
      <w:bookmarkEnd w:id="114"/>
      <w:bookmarkEnd w:id="115"/>
      <w:bookmarkEnd w:id="116"/>
    </w:p>
    <w:p w14:paraId="70FD252E" w14:textId="2903C0CB" w:rsidR="000B75ED" w:rsidRDefault="003046E6" w:rsidP="003046E6">
      <w:r>
        <w:t xml:space="preserve">The </w:t>
      </w:r>
      <w:r w:rsidR="000B75ED">
        <w:t xml:space="preserve">objective </w:t>
      </w:r>
      <w:r>
        <w:t>of this</w:t>
      </w:r>
      <w:r w:rsidR="000B75ED">
        <w:t xml:space="preserve"> dietary exposure</w:t>
      </w:r>
      <w:r>
        <w:t xml:space="preserve"> assessment is to estimate the dietary exposure to potassium polyaspartate </w:t>
      </w:r>
      <w:r w:rsidR="00CE2EBE">
        <w:t xml:space="preserve">when used </w:t>
      </w:r>
      <w:r>
        <w:t xml:space="preserve">in </w:t>
      </w:r>
      <w:r w:rsidR="00BA2E70">
        <w:t xml:space="preserve">class </w:t>
      </w:r>
      <w:r>
        <w:t xml:space="preserve">14.2.2 Wine, sparkling wine and fortified wine at a </w:t>
      </w:r>
      <w:r w:rsidR="00801ACE">
        <w:t xml:space="preserve">proposed </w:t>
      </w:r>
      <w:r>
        <w:t xml:space="preserve">maximum permitted level of 100 mg/L. </w:t>
      </w:r>
    </w:p>
    <w:p w14:paraId="08BC5A87" w14:textId="77777777" w:rsidR="000B75ED" w:rsidRDefault="000B75ED" w:rsidP="003046E6"/>
    <w:p w14:paraId="4A162962" w14:textId="7B6A5841" w:rsidR="000B75ED" w:rsidRDefault="000B75ED" w:rsidP="009449B9">
      <w:pPr>
        <w:pStyle w:val="Heading2"/>
      </w:pPr>
      <w:bookmarkStart w:id="117" w:name="_Toc521330354"/>
      <w:bookmarkStart w:id="118" w:name="_Toc522276787"/>
      <w:bookmarkStart w:id="119" w:name="_Toc522780512"/>
      <w:bookmarkStart w:id="120" w:name="_Toc524342553"/>
      <w:r>
        <w:t>4.2 Methodology and approach for dietary exposure assessment</w:t>
      </w:r>
      <w:bookmarkEnd w:id="117"/>
      <w:bookmarkEnd w:id="118"/>
      <w:bookmarkEnd w:id="119"/>
      <w:bookmarkEnd w:id="120"/>
    </w:p>
    <w:p w14:paraId="2F659EF3" w14:textId="10772DBE" w:rsidR="003046E6" w:rsidRDefault="003046E6" w:rsidP="003046E6">
      <w:r>
        <w:t xml:space="preserve">The general FSANZ methodology and approach to conducting dietary exposure </w:t>
      </w:r>
      <w:r w:rsidR="00CE2EBE">
        <w:t>assessments</w:t>
      </w:r>
      <w:r>
        <w:t xml:space="preserve"> is set out in </w:t>
      </w:r>
      <w:r w:rsidRPr="00752D67">
        <w:rPr>
          <w:i/>
        </w:rPr>
        <w:t>Principles and Practices of Dietary Exposure Assessment for Food Regulatory Purposes</w:t>
      </w:r>
      <w:r>
        <w:t xml:space="preserve"> </w:t>
      </w:r>
      <w:r w:rsidRPr="006032BF">
        <w:t>(</w:t>
      </w:r>
      <w:r w:rsidR="006032BF" w:rsidRPr="006032BF">
        <w:t>FSANZ, 2009</w:t>
      </w:r>
      <w:r w:rsidRPr="006032BF">
        <w:t>).</w:t>
      </w:r>
      <w:r>
        <w:t xml:space="preserve"> A summary of the general FSANZ approach to conducting the dietary exposure assessment for this application is at </w:t>
      </w:r>
      <w:r w:rsidRPr="000B75ED">
        <w:t>Appendix 1.</w:t>
      </w:r>
    </w:p>
    <w:p w14:paraId="688F9882" w14:textId="77777777" w:rsidR="003046E6" w:rsidRDefault="003046E6" w:rsidP="003046E6"/>
    <w:p w14:paraId="67DA90F6" w14:textId="58E4EF27" w:rsidR="003046E6" w:rsidRDefault="003046E6" w:rsidP="003046E6">
      <w:r>
        <w:t>Dietary exposure assessments require data on the concentration of the chemical of interest in the food requested and consumption data for the foods that have been collected through a national nutrition survey. The dietary exposure assessment was undertaken using FSANZ’s dietary modelling computer program Harvest</w:t>
      </w:r>
      <w:r>
        <w:rPr>
          <w:rStyle w:val="FootnoteReference"/>
        </w:rPr>
        <w:footnoteReference w:id="4"/>
      </w:r>
      <w:r>
        <w:t xml:space="preserve">. The </w:t>
      </w:r>
      <w:r w:rsidR="00CE2EBE">
        <w:t>H</w:t>
      </w:r>
      <w:r>
        <w:t xml:space="preserve">arvest model used to </w:t>
      </w:r>
      <w:r w:rsidR="0080781E">
        <w:t>assess</w:t>
      </w:r>
      <w:r>
        <w:t xml:space="preserve"> dietary exposure was a</w:t>
      </w:r>
      <w:r w:rsidR="00CE2EBE">
        <w:t xml:space="preserve"> food</w:t>
      </w:r>
      <w:r>
        <w:t xml:space="preserve"> additive model</w:t>
      </w:r>
      <w:r w:rsidR="00CE2EBE">
        <w:t xml:space="preserve"> as it groups consumption of foods, and allows concentrations to be assigned, according to the food categories in Schedule 15 of the Code</w:t>
      </w:r>
      <w:r>
        <w:t xml:space="preserve">. As food additive permissions in the Code apply to both Australia and New Zealand, dietary exposure assessments were undertaken for both countries. </w:t>
      </w:r>
    </w:p>
    <w:p w14:paraId="46F8101F" w14:textId="77777777" w:rsidR="003046E6" w:rsidRDefault="003046E6" w:rsidP="003046E6"/>
    <w:p w14:paraId="358F5E89" w14:textId="19954E7E" w:rsidR="003046E6" w:rsidRDefault="00926912" w:rsidP="009449B9">
      <w:pPr>
        <w:pStyle w:val="Heading2"/>
      </w:pPr>
      <w:bookmarkStart w:id="121" w:name="_Toc521330355"/>
      <w:bookmarkStart w:id="122" w:name="_Toc522276788"/>
      <w:bookmarkStart w:id="123" w:name="_Toc522780513"/>
      <w:bookmarkStart w:id="124" w:name="_Toc524342554"/>
      <w:r>
        <w:t>4</w:t>
      </w:r>
      <w:r w:rsidR="003046E6">
        <w:t>.</w:t>
      </w:r>
      <w:r w:rsidR="000B75ED">
        <w:t xml:space="preserve">3 </w:t>
      </w:r>
      <w:r w:rsidR="003046E6">
        <w:t>Food consumption data used</w:t>
      </w:r>
      <w:bookmarkEnd w:id="121"/>
      <w:bookmarkEnd w:id="122"/>
      <w:bookmarkEnd w:id="123"/>
      <w:bookmarkEnd w:id="124"/>
    </w:p>
    <w:p w14:paraId="582A8F7A" w14:textId="77777777" w:rsidR="003046E6" w:rsidRPr="00633236" w:rsidRDefault="003046E6" w:rsidP="003046E6">
      <w:pPr>
        <w:keepNext/>
        <w:keepLines/>
        <w:rPr>
          <w:rFonts w:cs="Arial"/>
        </w:rPr>
      </w:pPr>
      <w:r w:rsidRPr="00633236">
        <w:rPr>
          <w:rFonts w:cs="Arial"/>
        </w:rPr>
        <w:t xml:space="preserve">The food </w:t>
      </w:r>
      <w:r>
        <w:rPr>
          <w:rFonts w:cs="Arial"/>
        </w:rPr>
        <w:t>consumption</w:t>
      </w:r>
      <w:r w:rsidRPr="00633236">
        <w:rPr>
          <w:rFonts w:cs="Arial"/>
        </w:rPr>
        <w:t xml:space="preserve"> data us</w:t>
      </w:r>
      <w:r>
        <w:rPr>
          <w:rFonts w:cs="Arial"/>
        </w:rPr>
        <w:t>ed for the dietary exposure</w:t>
      </w:r>
      <w:r w:rsidRPr="00633236">
        <w:rPr>
          <w:rFonts w:cs="Arial"/>
        </w:rPr>
        <w:t xml:space="preserve"> assessments were:</w:t>
      </w:r>
    </w:p>
    <w:p w14:paraId="73CF0FC3" w14:textId="77777777" w:rsidR="003046E6" w:rsidRPr="00633236" w:rsidRDefault="003046E6" w:rsidP="003046E6">
      <w:pPr>
        <w:pStyle w:val="FSBullet1"/>
        <w:spacing w:before="100" w:beforeAutospacing="1" w:after="120"/>
        <w:ind w:left="561" w:hanging="561"/>
      </w:pPr>
      <w:r w:rsidRPr="00633236">
        <w:t>2002 New Zealand National Children’s Nutrition Survey (2002 NZ CNS): a 24-hour recall survey of 3,275 New Zealand children aged 5-14 years, with a second 24-hour recall undertaken for 15% of respondents. The assessment only used data from Day 1</w:t>
      </w:r>
      <w:r>
        <w:t xml:space="preserve"> of the survey.</w:t>
      </w:r>
    </w:p>
    <w:p w14:paraId="699CA0E0" w14:textId="77777777" w:rsidR="003046E6" w:rsidRPr="00633236" w:rsidRDefault="003046E6" w:rsidP="003046E6">
      <w:pPr>
        <w:pStyle w:val="FSBullet1"/>
        <w:spacing w:before="100" w:beforeAutospacing="1" w:after="60"/>
        <w:ind w:left="502" w:hanging="360"/>
      </w:pPr>
      <w:r w:rsidRPr="00633236">
        <w:t>2008</w:t>
      </w:r>
      <w:r>
        <w:t>-09</w:t>
      </w:r>
      <w:r w:rsidRPr="00633236">
        <w:t xml:space="preserve"> New Zealand Adult Nutrition Survey (2008 NZ ANS): a 24-hour recall survey of 4,721 New Zealanders aged 15 years and above, with a second 24-hour recall undertaken for 25% of respondents. The assessment only used data from Day</w:t>
      </w:r>
      <w:r>
        <w:t> </w:t>
      </w:r>
      <w:r w:rsidRPr="00633236">
        <w:t>1</w:t>
      </w:r>
      <w:r>
        <w:t xml:space="preserve"> </w:t>
      </w:r>
      <w:r w:rsidRPr="00633236">
        <w:t>of the survey.</w:t>
      </w:r>
    </w:p>
    <w:p w14:paraId="38D4A717" w14:textId="5FB1FC64" w:rsidR="003046E6" w:rsidRDefault="003046E6" w:rsidP="003046E6">
      <w:pPr>
        <w:pStyle w:val="FSBullet1"/>
        <w:ind w:left="502" w:hanging="360"/>
      </w:pPr>
      <w:r w:rsidRPr="00633236">
        <w:t>2011-12 Australian National Nutrition and Physical Activity Survey (2011-12 NNPAS), a component of the 2011-13 Australian Health Survey (2011-13 AHS): a 24-hour recall survey of 12,153 Australians aged 2 years and above, with a second 24-hour recall undertaken for 64% of respondents</w:t>
      </w:r>
      <w:r w:rsidRPr="00633236">
        <w:fldChar w:fldCharType="begin"/>
      </w:r>
      <w:r w:rsidRPr="00633236">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633236">
        <w:fldChar w:fldCharType="end"/>
      </w:r>
      <w:r>
        <w:t xml:space="preserve">. </w:t>
      </w:r>
      <w:r w:rsidRPr="00A408DF">
        <w:t>Only those respondents who had two days of food consumption data (n=7,735) were used in t</w:t>
      </w:r>
      <w:r>
        <w:t>he assessment of dietary exposure (</w:t>
      </w:r>
      <w:r w:rsidR="006032BF">
        <w:t xml:space="preserve">ABS, </w:t>
      </w:r>
      <w:r w:rsidR="006032BF" w:rsidRPr="006032BF">
        <w:t>2015</w:t>
      </w:r>
      <w:r w:rsidRPr="006032BF">
        <w:t>).</w:t>
      </w:r>
      <w:r w:rsidR="00801ACE">
        <w:t xml:space="preserve"> Data from the two days are averaged in order to better estimate longer term or chronic estimates of food consumption or dietary exposure.</w:t>
      </w:r>
    </w:p>
    <w:p w14:paraId="511ADE8B" w14:textId="77777777" w:rsidR="003046E6" w:rsidRDefault="003046E6" w:rsidP="003046E6"/>
    <w:p w14:paraId="0ED85563" w14:textId="02598F12" w:rsidR="003046E6" w:rsidRDefault="003046E6" w:rsidP="003046E6">
      <w:r w:rsidRPr="00633236">
        <w:t xml:space="preserve">Dietary </w:t>
      </w:r>
      <w:r>
        <w:t>exposure</w:t>
      </w:r>
      <w:r w:rsidRPr="00633236">
        <w:t xml:space="preserve"> assessments based on food consumption data from national nutrition surveys provide the best estimation of actual consumption of a food and the re</w:t>
      </w:r>
      <w:r>
        <w:t>sulting estimated dietary exposure</w:t>
      </w:r>
      <w:r w:rsidRPr="00633236">
        <w:t xml:space="preserve"> assessment for the Australian and New Zealand populations. However, </w:t>
      </w:r>
      <w:r>
        <w:t>national nutrition survey</w:t>
      </w:r>
      <w:r w:rsidRPr="00633236">
        <w:t xml:space="preserve"> data have some limitations. The design of these nutrition surveys vary and the key attributes of each are set </w:t>
      </w:r>
      <w:r w:rsidRPr="004D4051">
        <w:t xml:space="preserve">out in </w:t>
      </w:r>
      <w:r w:rsidR="007E314E" w:rsidRPr="000B75ED">
        <w:t xml:space="preserve">Appendix </w:t>
      </w:r>
      <w:r w:rsidR="007E314E" w:rsidRPr="007E314E">
        <w:t>1</w:t>
      </w:r>
      <w:r>
        <w:t>.</w:t>
      </w:r>
    </w:p>
    <w:p w14:paraId="1C50771B" w14:textId="77777777" w:rsidR="003046E6" w:rsidRDefault="003046E6" w:rsidP="003046E6"/>
    <w:p w14:paraId="55F60CDE" w14:textId="77777777" w:rsidR="003046E6" w:rsidRDefault="003046E6" w:rsidP="003046E6">
      <w:r>
        <w:t xml:space="preserve">The hazard assessment did not identify any target or at-risk groups for which there were specific safety considerations in relation to exposure to potassium polyaspartate. In addition, the food category requested in the application for addition of potassium polyaspartate is consumed by all age groups of the Australian and New Zealand populations (for example, in cooked dishes such as casseroles). Therefore the dietary exposure assessments were conducted for the general Australian and New Zealand populations based on the dietary survey data available. </w:t>
      </w:r>
      <w:r w:rsidRPr="00633236">
        <w:t>For Australia, the</w:t>
      </w:r>
      <w:r>
        <w:t xml:space="preserve"> population group used for the dietary exposure </w:t>
      </w:r>
      <w:r w:rsidRPr="00633236">
        <w:t xml:space="preserve">assessment </w:t>
      </w:r>
      <w:r>
        <w:t xml:space="preserve">was the population aged 2 years and above. For New Zealand the population groups were children (aged 5-14 years) and adults (aged 15 years and above). </w:t>
      </w:r>
    </w:p>
    <w:p w14:paraId="5B58741E" w14:textId="77777777" w:rsidR="003046E6" w:rsidRDefault="003046E6" w:rsidP="003046E6"/>
    <w:p w14:paraId="6B6B8A13" w14:textId="0E7722D8" w:rsidR="003046E6" w:rsidRDefault="00926912" w:rsidP="009449B9">
      <w:pPr>
        <w:pStyle w:val="Heading2"/>
      </w:pPr>
      <w:bookmarkStart w:id="125" w:name="_Toc521330356"/>
      <w:bookmarkStart w:id="126" w:name="_Toc522276789"/>
      <w:bookmarkStart w:id="127" w:name="_Toc522780514"/>
      <w:bookmarkStart w:id="128" w:name="_Toc524342555"/>
      <w:r>
        <w:t>4</w:t>
      </w:r>
      <w:r w:rsidR="00935D20">
        <w:t>.4</w:t>
      </w:r>
      <w:r w:rsidR="003046E6">
        <w:t xml:space="preserve"> Assumptions and limitations of the dietary exposure assessment</w:t>
      </w:r>
      <w:bookmarkEnd w:id="125"/>
      <w:bookmarkEnd w:id="126"/>
      <w:bookmarkEnd w:id="127"/>
      <w:bookmarkEnd w:id="128"/>
    </w:p>
    <w:p w14:paraId="179CD951" w14:textId="77777777" w:rsidR="003046E6" w:rsidRDefault="003046E6" w:rsidP="003046E6">
      <w:pPr>
        <w:keepLines/>
      </w:pPr>
      <w:r>
        <w:t>The aim of the dietary exposure</w:t>
      </w:r>
      <w:r w:rsidRPr="00633236">
        <w:t xml:space="preserve"> assessment was to make the best estimate of dietary </w:t>
      </w:r>
      <w:r>
        <w:t>potassium polyaspartate exposure</w:t>
      </w:r>
      <w:r w:rsidRPr="00633236">
        <w:t>. Where significant uncertainties in the data exist, FSANZ uses conservative assumptions to ensure t</w:t>
      </w:r>
      <w:r>
        <w:t>hat the estimated dietary exposure</w:t>
      </w:r>
      <w:r w:rsidRPr="00633236">
        <w:t xml:space="preserve"> is not an underestimate.</w:t>
      </w:r>
    </w:p>
    <w:p w14:paraId="7749A6CE" w14:textId="77777777" w:rsidR="003046E6" w:rsidRPr="00633236" w:rsidRDefault="003046E6" w:rsidP="003046E6"/>
    <w:p w14:paraId="5F911762" w14:textId="77777777" w:rsidR="003046E6" w:rsidRDefault="003046E6" w:rsidP="003046E6">
      <w:r w:rsidRPr="00633236">
        <w:t>Assump</w:t>
      </w:r>
      <w:r>
        <w:t>tions made in the dietary exposure</w:t>
      </w:r>
      <w:r w:rsidRPr="00633236">
        <w:t xml:space="preserve"> assessment included:</w:t>
      </w:r>
    </w:p>
    <w:p w14:paraId="5C3AEFD4" w14:textId="77777777" w:rsidR="003046E6" w:rsidRPr="00633236" w:rsidRDefault="003046E6" w:rsidP="003046E6"/>
    <w:p w14:paraId="5C0F8110" w14:textId="77777777" w:rsidR="003046E6" w:rsidRPr="002175B0" w:rsidRDefault="003046E6" w:rsidP="003046E6">
      <w:pPr>
        <w:pStyle w:val="FSBullet1"/>
        <w:ind w:left="502" w:hanging="360"/>
      </w:pPr>
      <w:r>
        <w:t>All wine included in category 14.2.2 Wine, sparkling wine and fortified wine contained potassium polyaspartate at the proposed maximum permitted level of 100 mg/L.</w:t>
      </w:r>
    </w:p>
    <w:p w14:paraId="59D735FA" w14:textId="77777777" w:rsidR="003046E6" w:rsidRPr="005C6F72" w:rsidRDefault="003046E6" w:rsidP="003046E6">
      <w:pPr>
        <w:pStyle w:val="FSBullet1"/>
        <w:ind w:left="502" w:hanging="360"/>
      </w:pPr>
      <w:r>
        <w:t>1 mL of wine, sparkling wine and fortified wine = 1 g.</w:t>
      </w:r>
    </w:p>
    <w:p w14:paraId="303E98A1" w14:textId="2DA8D2A3" w:rsidR="003046E6" w:rsidRDefault="003046E6" w:rsidP="003046E6">
      <w:pPr>
        <w:pStyle w:val="FSBullet1"/>
        <w:ind w:left="502" w:hanging="360"/>
      </w:pPr>
      <w:r>
        <w:t>As wine is used in cooking (e.g. casseroles) as well as consumed as a beverage, the dietary exposure assessment includes wine, spark</w:t>
      </w:r>
      <w:r w:rsidR="00473C8F">
        <w:t>l</w:t>
      </w:r>
      <w:r>
        <w:t>ing wine and fortified wine used in recipes.</w:t>
      </w:r>
    </w:p>
    <w:p w14:paraId="6C722609" w14:textId="77777777" w:rsidR="003046E6" w:rsidRPr="005273CE" w:rsidRDefault="003046E6" w:rsidP="003046E6">
      <w:pPr>
        <w:pStyle w:val="FSBullet1"/>
        <w:numPr>
          <w:ilvl w:val="0"/>
          <w:numId w:val="0"/>
        </w:numPr>
        <w:ind w:left="502"/>
      </w:pPr>
    </w:p>
    <w:p w14:paraId="722A2765" w14:textId="49B552BF" w:rsidR="003046E6" w:rsidRDefault="003046E6" w:rsidP="003046E6">
      <w:r w:rsidRPr="00633236">
        <w:t>In addition to the specific assumptions made in</w:t>
      </w:r>
      <w:r>
        <w:t xml:space="preserve"> relation to this dietary exposure</w:t>
      </w:r>
      <w:r w:rsidRPr="00633236">
        <w:t xml:space="preserve"> assessment, there are a number of limitations associated with the nutrition surveys per se. A discussion of these limitations is included in Section 6 of the </w:t>
      </w:r>
      <w:r w:rsidRPr="00633236">
        <w:rPr>
          <w:i/>
        </w:rPr>
        <w:t>Principles and Practices of Dietary Exposure Assessment for Food Regulatory Purposes</w:t>
      </w:r>
      <w:r>
        <w:rPr>
          <w:i/>
        </w:rPr>
        <w:t xml:space="preserve"> </w:t>
      </w:r>
      <w:r w:rsidRPr="006032BF">
        <w:t>(</w:t>
      </w:r>
      <w:r w:rsidR="006032BF" w:rsidRPr="006032BF">
        <w:t>FSANZ, 2009</w:t>
      </w:r>
      <w:r w:rsidRPr="006032BF">
        <w:t>)</w:t>
      </w:r>
      <w:r w:rsidRPr="006032BF">
        <w:rPr>
          <w:i/>
        </w:rPr>
        <w:t>.</w:t>
      </w:r>
    </w:p>
    <w:p w14:paraId="30A902D7" w14:textId="77777777" w:rsidR="00C53824" w:rsidRDefault="00C53824" w:rsidP="003046E6"/>
    <w:p w14:paraId="7A1835CD" w14:textId="56D223FF" w:rsidR="003046E6" w:rsidRDefault="00926912" w:rsidP="009449B9">
      <w:pPr>
        <w:pStyle w:val="Heading2"/>
      </w:pPr>
      <w:bookmarkStart w:id="129" w:name="_Toc521330357"/>
      <w:bookmarkStart w:id="130" w:name="_Toc522276790"/>
      <w:bookmarkStart w:id="131" w:name="_Toc522780515"/>
      <w:bookmarkStart w:id="132" w:name="_Toc524342556"/>
      <w:r>
        <w:t>4</w:t>
      </w:r>
      <w:r w:rsidR="00935D20">
        <w:t>.5</w:t>
      </w:r>
      <w:r w:rsidR="003046E6">
        <w:t xml:space="preserve"> Dietary exposure assessment results</w:t>
      </w:r>
      <w:bookmarkEnd w:id="129"/>
      <w:bookmarkEnd w:id="130"/>
      <w:bookmarkEnd w:id="131"/>
      <w:bookmarkEnd w:id="132"/>
    </w:p>
    <w:p w14:paraId="43121735" w14:textId="77777777" w:rsidR="00BB3A80" w:rsidRDefault="003046E6" w:rsidP="0084184B">
      <w:r>
        <w:rPr>
          <w:lang w:eastAsia="en-AU"/>
        </w:rPr>
        <w:t>The estimated mean and 90</w:t>
      </w:r>
      <w:r w:rsidRPr="007A6099">
        <w:rPr>
          <w:vertAlign w:val="superscript"/>
          <w:lang w:eastAsia="en-AU"/>
        </w:rPr>
        <w:t>th</w:t>
      </w:r>
      <w:r>
        <w:rPr>
          <w:lang w:eastAsia="en-AU"/>
        </w:rPr>
        <w:t xml:space="preserve"> percentile consumption of wine, sparkling wine and fort</w:t>
      </w:r>
      <w:r w:rsidR="00FA10FC">
        <w:rPr>
          <w:lang w:eastAsia="en-AU"/>
        </w:rPr>
        <w:t>ified wine for consumers range</w:t>
      </w:r>
      <w:r>
        <w:rPr>
          <w:lang w:eastAsia="en-AU"/>
        </w:rPr>
        <w:t xml:space="preserve"> from </w:t>
      </w:r>
      <w:r w:rsidRPr="0061740D">
        <w:rPr>
          <w:lang w:eastAsia="en-AU"/>
        </w:rPr>
        <w:t>13 g/day to 265 g/day and from 28 g/day to 594 g</w:t>
      </w:r>
      <w:r>
        <w:rPr>
          <w:lang w:eastAsia="en-AU"/>
        </w:rPr>
        <w:t xml:space="preserve">/day respectively across the population groups assessed </w:t>
      </w:r>
      <w:r>
        <w:t xml:space="preserve">(refer to </w:t>
      </w:r>
      <w:r w:rsidR="000E117A">
        <w:fldChar w:fldCharType="begin"/>
      </w:r>
      <w:r w:rsidR="000E117A">
        <w:instrText xml:space="preserve"> REF _Ref520986412 \h </w:instrText>
      </w:r>
      <w:r w:rsidR="000E117A">
        <w:fldChar w:fldCharType="separate"/>
      </w:r>
      <w:r w:rsidR="00BB3A80">
        <w:t xml:space="preserve"> </w:t>
      </w:r>
      <w:r w:rsidR="00BB3A80" w:rsidRPr="00321EDA">
        <w:t xml:space="preserve">Figure </w:t>
      </w:r>
      <w:r w:rsidR="00BB3A80">
        <w:rPr>
          <w:noProof/>
        </w:rPr>
        <w:t>2</w:t>
      </w:r>
      <w:r w:rsidR="00BB3A80" w:rsidRPr="009167A8">
        <w:t>.</w:t>
      </w:r>
    </w:p>
    <w:p w14:paraId="0DD4EC6B" w14:textId="377BBB09" w:rsidR="003046E6" w:rsidRDefault="00BB3A80" w:rsidP="00C74FC2">
      <w:r>
        <w:t xml:space="preserve">Table </w:t>
      </w:r>
      <w:r>
        <w:rPr>
          <w:noProof/>
        </w:rPr>
        <w:t>4</w:t>
      </w:r>
      <w:r w:rsidR="000E117A">
        <w:fldChar w:fldCharType="end"/>
      </w:r>
      <w:r w:rsidR="003046E6">
        <w:t xml:space="preserve"> for detailed results).</w:t>
      </w:r>
    </w:p>
    <w:p w14:paraId="3C7E6A90" w14:textId="77777777" w:rsidR="003046E6" w:rsidRPr="007A6099" w:rsidRDefault="003046E6" w:rsidP="003046E6">
      <w:pPr>
        <w:rPr>
          <w:lang w:eastAsia="en-AU"/>
        </w:rPr>
      </w:pPr>
    </w:p>
    <w:p w14:paraId="58CAD7CC" w14:textId="0B9367F3" w:rsidR="003046E6" w:rsidRDefault="003046E6" w:rsidP="003046E6">
      <w:r>
        <w:t xml:space="preserve">The estimated dietary exposures to potassium polyaspartate were calculated for ‘consumers’ of potassium polyaspartate and are reported </w:t>
      </w:r>
      <w:r w:rsidR="00801ACE">
        <w:t>for mean and 90</w:t>
      </w:r>
      <w:r w:rsidR="00801ACE" w:rsidRPr="005F5A51">
        <w:rPr>
          <w:vertAlign w:val="superscript"/>
        </w:rPr>
        <w:t>th</w:t>
      </w:r>
      <w:r w:rsidR="00801ACE">
        <w:t xml:space="preserve"> percentile exposures </w:t>
      </w:r>
      <w:r>
        <w:t>in two ways:</w:t>
      </w:r>
    </w:p>
    <w:p w14:paraId="78C5A3DE" w14:textId="5F2E380E" w:rsidR="003046E6" w:rsidRDefault="003046E6" w:rsidP="003046E6">
      <w:pPr>
        <w:pStyle w:val="FSBullet1"/>
        <w:ind w:left="502" w:hanging="360"/>
      </w:pPr>
      <w:r>
        <w:t>in milligrams of potassium polyaspartate per day, derived from each individual’s ranked daily exposures</w:t>
      </w:r>
    </w:p>
    <w:p w14:paraId="512C7807" w14:textId="7974B94E" w:rsidR="003046E6" w:rsidRDefault="003046E6" w:rsidP="003046E6">
      <w:pPr>
        <w:pStyle w:val="FSBullet1"/>
        <w:ind w:left="502" w:hanging="360"/>
      </w:pPr>
      <w:r>
        <w:t>in milligrams of potassium polyaspartate derived on a per kilogram body weight basis using each individual’s body weight.</w:t>
      </w:r>
    </w:p>
    <w:p w14:paraId="32059277" w14:textId="77777777" w:rsidR="003046E6" w:rsidRDefault="003046E6" w:rsidP="003046E6"/>
    <w:p w14:paraId="2C6924E4" w14:textId="77777777" w:rsidR="00BB3A80" w:rsidRDefault="003046E6" w:rsidP="0084184B">
      <w:r>
        <w:t>The estimated mean and 90</w:t>
      </w:r>
      <w:r w:rsidRPr="00DC47AC">
        <w:rPr>
          <w:vertAlign w:val="superscript"/>
        </w:rPr>
        <w:t>th</w:t>
      </w:r>
      <w:r>
        <w:t xml:space="preserve"> percentile exposure to potassium polyaspartate for consumer</w:t>
      </w:r>
      <w:r w:rsidR="00FA10FC">
        <w:t>s range</w:t>
      </w:r>
      <w:r>
        <w:t xml:space="preserve"> from </w:t>
      </w:r>
      <w:r w:rsidRPr="0061740D">
        <w:t>1 mg/day to 2</w:t>
      </w:r>
      <w:r w:rsidR="0061740D" w:rsidRPr="0061740D">
        <w:t>6</w:t>
      </w:r>
      <w:r w:rsidRPr="0061740D">
        <w:t xml:space="preserve"> mg/day and from 3 mg/day to 59 mg/day</w:t>
      </w:r>
      <w:r>
        <w:t xml:space="preserve"> respectively across the population groups assessed. When expressed on a kilogram body weight basis, the estimated mean and 90</w:t>
      </w:r>
      <w:r w:rsidRPr="00545146">
        <w:rPr>
          <w:vertAlign w:val="superscript"/>
        </w:rPr>
        <w:t>th</w:t>
      </w:r>
      <w:r w:rsidR="00FA10FC">
        <w:t xml:space="preserve"> percentile exposures range</w:t>
      </w:r>
      <w:r>
        <w:t xml:space="preserve"> </w:t>
      </w:r>
      <w:r w:rsidRPr="0061740D">
        <w:t>from 0.03</w:t>
      </w:r>
      <w:r w:rsidR="0061740D" w:rsidRPr="0061740D">
        <w:t>1</w:t>
      </w:r>
      <w:r w:rsidRPr="0061740D">
        <w:t xml:space="preserve"> mg/kg body weight/day to 0.3</w:t>
      </w:r>
      <w:r w:rsidR="0061740D" w:rsidRPr="0061740D">
        <w:t>5</w:t>
      </w:r>
      <w:r w:rsidRPr="0061740D">
        <w:t xml:space="preserve"> mg/kg body weight/day and from 0.07</w:t>
      </w:r>
      <w:r w:rsidR="0061740D" w:rsidRPr="0061740D">
        <w:t>2</w:t>
      </w:r>
      <w:r w:rsidRPr="0061740D">
        <w:t xml:space="preserve"> mg/kg body weight/day to 0.79 mg/kg body</w:t>
      </w:r>
      <w:r>
        <w:t xml:space="preserve"> weight/day respectively (refer to </w:t>
      </w:r>
      <w:r w:rsidR="000E117A" w:rsidRPr="0061740D">
        <w:fldChar w:fldCharType="begin"/>
      </w:r>
      <w:r w:rsidR="000E117A" w:rsidRPr="0061740D">
        <w:instrText xml:space="preserve"> REF _Ref520986412 \h </w:instrText>
      </w:r>
      <w:r w:rsidR="0061740D">
        <w:instrText xml:space="preserve"> \* MERGEFORMAT </w:instrText>
      </w:r>
      <w:r w:rsidR="000E117A" w:rsidRPr="0061740D">
        <w:fldChar w:fldCharType="separate"/>
      </w:r>
      <w:r w:rsidR="00BB3A80">
        <w:t xml:space="preserve"> </w:t>
      </w:r>
      <w:r w:rsidR="00BB3A80" w:rsidRPr="00321EDA">
        <w:t>Figure</w:t>
      </w:r>
      <w:r w:rsidR="00BB3A80" w:rsidRPr="00321EDA">
        <w:rPr>
          <w:noProof/>
        </w:rPr>
        <w:t xml:space="preserve"> </w:t>
      </w:r>
      <w:r w:rsidR="00BB3A80">
        <w:rPr>
          <w:noProof/>
        </w:rPr>
        <w:t>2</w:t>
      </w:r>
      <w:r w:rsidR="00BB3A80" w:rsidRPr="009167A8">
        <w:rPr>
          <w:noProof/>
        </w:rPr>
        <w:t>.</w:t>
      </w:r>
    </w:p>
    <w:p w14:paraId="54325B7A" w14:textId="4B14A1EC" w:rsidR="0084184B" w:rsidRDefault="00BB3A80" w:rsidP="0084184B">
      <w:r>
        <w:t xml:space="preserve">Table </w:t>
      </w:r>
      <w:r>
        <w:rPr>
          <w:noProof/>
        </w:rPr>
        <w:t>4</w:t>
      </w:r>
      <w:r w:rsidR="000E117A" w:rsidRPr="0061740D">
        <w:fldChar w:fldCharType="end"/>
      </w:r>
      <w:r w:rsidR="003046E6">
        <w:t xml:space="preserve"> for detailed results). The estimated mean and 90</w:t>
      </w:r>
      <w:r w:rsidR="003046E6" w:rsidRPr="00545146">
        <w:rPr>
          <w:vertAlign w:val="superscript"/>
        </w:rPr>
        <w:t>th</w:t>
      </w:r>
      <w:r w:rsidR="003046E6">
        <w:t xml:space="preserve"> percentile daily exposures to potassium polyaspartate on a per kilogram body weight basis are summarised in</w:t>
      </w:r>
      <w:bookmarkStart w:id="133" w:name="_Ref520986412"/>
      <w:r w:rsidR="00473C8F">
        <w:t xml:space="preserve"> </w:t>
      </w:r>
      <w:fldSimple w:instr=" REF  _Ref522780072  \* MERGEFORMAT ">
        <w:r w:rsidRPr="00321EDA">
          <w:t xml:space="preserve">Figure </w:t>
        </w:r>
        <w:r>
          <w:rPr>
            <w:noProof/>
          </w:rPr>
          <w:t>2</w:t>
        </w:r>
      </w:fldSimple>
      <w:r w:rsidR="005C5770" w:rsidRPr="009167A8">
        <w:fldChar w:fldCharType="begin"/>
      </w:r>
      <w:r w:rsidR="005C5770" w:rsidRPr="009167A8">
        <w:instrText xml:space="preserve"> REF _Ref521313349 \h </w:instrText>
      </w:r>
      <w:r w:rsidR="0084184B" w:rsidRPr="009167A8">
        <w:instrText xml:space="preserve"> \* MERGEFORMAT </w:instrText>
      </w:r>
      <w:r w:rsidR="005C5770" w:rsidRPr="009167A8">
        <w:fldChar w:fldCharType="end"/>
      </w:r>
      <w:r w:rsidR="005C5770" w:rsidRPr="009167A8">
        <w:t>.</w:t>
      </w:r>
    </w:p>
    <w:p w14:paraId="5E115737" w14:textId="7A0F356E" w:rsidR="003046E6" w:rsidRPr="0084184B" w:rsidRDefault="000E117A" w:rsidP="00D90C81">
      <w:pPr>
        <w:pStyle w:val="FSTableFigureHeading"/>
        <w:ind w:left="0" w:firstLine="0"/>
      </w:pPr>
      <w:r>
        <w:t xml:space="preserve">Table </w:t>
      </w:r>
      <w:r w:rsidR="00F668B7">
        <w:rPr>
          <w:noProof/>
        </w:rPr>
        <w:fldChar w:fldCharType="begin"/>
      </w:r>
      <w:r w:rsidR="00F668B7">
        <w:rPr>
          <w:noProof/>
        </w:rPr>
        <w:instrText xml:space="preserve"> SEQ Table \* ARABIC </w:instrText>
      </w:r>
      <w:r w:rsidR="00F668B7">
        <w:rPr>
          <w:noProof/>
        </w:rPr>
        <w:fldChar w:fldCharType="separate"/>
      </w:r>
      <w:r w:rsidR="00BB3A80">
        <w:rPr>
          <w:noProof/>
        </w:rPr>
        <w:t>4</w:t>
      </w:r>
      <w:r w:rsidR="00F668B7">
        <w:rPr>
          <w:noProof/>
        </w:rPr>
        <w:fldChar w:fldCharType="end"/>
      </w:r>
      <w:bookmarkEnd w:id="133"/>
      <w:r w:rsidR="007B79A2">
        <w:rPr>
          <w:noProof/>
        </w:rPr>
        <w:t xml:space="preserve"> </w:t>
      </w:r>
      <w:r w:rsidR="003046E6" w:rsidRPr="008A283C">
        <w:rPr>
          <w:b w:val="0"/>
        </w:rPr>
        <w:t>Estimated mean and P90 wine, sparkling wine and fortified wine consumption and potassium polyaspartate dietary exposures for Australia and New Zealand</w:t>
      </w:r>
      <w:r w:rsidR="009415E5" w:rsidRPr="008A283C">
        <w:rPr>
          <w:b w:val="0"/>
        </w:rPr>
        <w:t xml:space="preserve"> consumers only</w:t>
      </w:r>
    </w:p>
    <w:tbl>
      <w:tblPr>
        <w:tblStyle w:val="TableGrid"/>
        <w:tblW w:w="5483" w:type="pct"/>
        <w:tblLook w:val="04A0" w:firstRow="1" w:lastRow="0" w:firstColumn="1" w:lastColumn="0" w:noHBand="0" w:noVBand="1"/>
        <w:tblCaption w:val="Estimated mean and P90 potassium polyaspartate dietary exposures for Australia and New Zealand"/>
        <w:tblDescription w:val="This table shows the estimated mean and P90 potassium polyaspartate deitary exposures for Australia and New Zealand."/>
      </w:tblPr>
      <w:tblGrid>
        <w:gridCol w:w="1047"/>
        <w:gridCol w:w="707"/>
        <w:gridCol w:w="896"/>
        <w:gridCol w:w="1207"/>
        <w:gridCol w:w="896"/>
        <w:gridCol w:w="896"/>
        <w:gridCol w:w="896"/>
        <w:gridCol w:w="896"/>
        <w:gridCol w:w="1247"/>
        <w:gridCol w:w="1247"/>
      </w:tblGrid>
      <w:tr w:rsidR="003046E6" w14:paraId="6ED95E9D" w14:textId="77777777" w:rsidTr="00642E69">
        <w:tc>
          <w:tcPr>
            <w:tcW w:w="527" w:type="pct"/>
            <w:vMerge w:val="restart"/>
            <w:shd w:val="clear" w:color="auto" w:fill="9BBB59" w:themeFill="accent3"/>
            <w:vAlign w:val="center"/>
          </w:tcPr>
          <w:p w14:paraId="51AF39DB" w14:textId="77777777" w:rsidR="003046E6" w:rsidRPr="00E63CF4" w:rsidRDefault="003046E6" w:rsidP="007E314E">
            <w:pPr>
              <w:jc w:val="center"/>
              <w:rPr>
                <w:rFonts w:cs="Arial"/>
                <w:color w:val="FFFFFF" w:themeColor="background1"/>
                <w:sz w:val="18"/>
                <w:szCs w:val="18"/>
              </w:rPr>
            </w:pPr>
            <w:r w:rsidRPr="00E63CF4">
              <w:rPr>
                <w:rFonts w:cs="Arial"/>
                <w:color w:val="FFFFFF" w:themeColor="background1"/>
                <w:sz w:val="18"/>
                <w:szCs w:val="18"/>
              </w:rPr>
              <w:t>Country</w:t>
            </w:r>
          </w:p>
        </w:tc>
        <w:tc>
          <w:tcPr>
            <w:tcW w:w="356" w:type="pct"/>
            <w:vMerge w:val="restart"/>
            <w:shd w:val="clear" w:color="auto" w:fill="9BBB59" w:themeFill="accent3"/>
            <w:vAlign w:val="center"/>
          </w:tcPr>
          <w:p w14:paraId="4A4B6199" w14:textId="77777777" w:rsidR="003046E6" w:rsidRPr="00E63CF4" w:rsidRDefault="003046E6" w:rsidP="007E314E">
            <w:pPr>
              <w:jc w:val="center"/>
              <w:rPr>
                <w:rFonts w:cs="Arial"/>
                <w:color w:val="FFFFFF" w:themeColor="background1"/>
                <w:sz w:val="18"/>
                <w:szCs w:val="18"/>
              </w:rPr>
            </w:pPr>
            <w:r w:rsidRPr="00E63CF4">
              <w:rPr>
                <w:rFonts w:cs="Arial"/>
                <w:color w:val="FFFFFF" w:themeColor="background1"/>
                <w:sz w:val="18"/>
                <w:szCs w:val="18"/>
              </w:rPr>
              <w:t>Age group</w:t>
            </w:r>
          </w:p>
        </w:tc>
        <w:tc>
          <w:tcPr>
            <w:tcW w:w="451" w:type="pct"/>
            <w:vMerge w:val="restart"/>
            <w:shd w:val="clear" w:color="auto" w:fill="9BBB59" w:themeFill="accent3"/>
            <w:vAlign w:val="center"/>
          </w:tcPr>
          <w:p w14:paraId="48EBF8A8" w14:textId="77777777" w:rsidR="003046E6" w:rsidRPr="00E63CF4" w:rsidRDefault="003046E6" w:rsidP="007E314E">
            <w:pPr>
              <w:jc w:val="center"/>
              <w:rPr>
                <w:rFonts w:cs="Arial"/>
                <w:color w:val="FFFFFF" w:themeColor="background1"/>
                <w:sz w:val="18"/>
                <w:szCs w:val="18"/>
              </w:rPr>
            </w:pPr>
            <w:r w:rsidRPr="00E63CF4">
              <w:rPr>
                <w:rFonts w:cs="Arial"/>
                <w:color w:val="FFFFFF" w:themeColor="background1"/>
                <w:sz w:val="18"/>
                <w:szCs w:val="18"/>
              </w:rPr>
              <w:t>No. of resp.</w:t>
            </w:r>
          </w:p>
        </w:tc>
        <w:tc>
          <w:tcPr>
            <w:tcW w:w="607" w:type="pct"/>
            <w:vMerge w:val="restart"/>
            <w:shd w:val="clear" w:color="auto" w:fill="9BBB59" w:themeFill="accent3"/>
            <w:vAlign w:val="center"/>
          </w:tcPr>
          <w:p w14:paraId="1FAF2936" w14:textId="77777777" w:rsidR="003046E6" w:rsidRPr="00E63CF4" w:rsidRDefault="003046E6" w:rsidP="007E314E">
            <w:pPr>
              <w:jc w:val="center"/>
              <w:rPr>
                <w:color w:val="FFFFFF" w:themeColor="background1"/>
              </w:rPr>
            </w:pPr>
            <w:r w:rsidRPr="00E63CF4">
              <w:rPr>
                <w:rFonts w:cs="Arial"/>
                <w:color w:val="FFFFFF" w:themeColor="background1"/>
                <w:sz w:val="18"/>
                <w:szCs w:val="18"/>
              </w:rPr>
              <w:t>Proportion consumers to respondents</w:t>
            </w:r>
          </w:p>
        </w:tc>
        <w:tc>
          <w:tcPr>
            <w:tcW w:w="902" w:type="pct"/>
            <w:gridSpan w:val="2"/>
            <w:shd w:val="clear" w:color="auto" w:fill="9BBB59" w:themeFill="accent3"/>
          </w:tcPr>
          <w:p w14:paraId="1DCCD0D7" w14:textId="3E4DACA6" w:rsidR="003046E6" w:rsidRPr="00E63CF4" w:rsidRDefault="003046E6" w:rsidP="007E314E">
            <w:pPr>
              <w:jc w:val="center"/>
              <w:rPr>
                <w:rFonts w:cs="Arial"/>
                <w:color w:val="FFFFFF" w:themeColor="background1"/>
                <w:sz w:val="18"/>
                <w:szCs w:val="18"/>
              </w:rPr>
            </w:pPr>
            <w:r>
              <w:rPr>
                <w:rFonts w:cs="Arial"/>
                <w:color w:val="FFFFFF" w:themeColor="background1"/>
                <w:sz w:val="18"/>
                <w:szCs w:val="18"/>
              </w:rPr>
              <w:t xml:space="preserve">Estimated consumption of wine, sparkling wine and fortified wine </w:t>
            </w:r>
            <w:r w:rsidR="009415E5">
              <w:rPr>
                <w:rFonts w:cs="Arial"/>
                <w:color w:val="FFFFFF" w:themeColor="background1"/>
                <w:sz w:val="18"/>
                <w:szCs w:val="18"/>
              </w:rPr>
              <w:br/>
            </w:r>
            <w:r>
              <w:rPr>
                <w:rFonts w:cs="Arial"/>
                <w:color w:val="FFFFFF" w:themeColor="background1"/>
                <w:sz w:val="18"/>
                <w:szCs w:val="18"/>
              </w:rPr>
              <w:t>(g/</w:t>
            </w:r>
            <w:r w:rsidR="009415E5">
              <w:rPr>
                <w:rFonts w:cs="Arial"/>
                <w:color w:val="FFFFFF" w:themeColor="background1"/>
                <w:sz w:val="18"/>
                <w:szCs w:val="18"/>
              </w:rPr>
              <w:t>consumer/</w:t>
            </w:r>
            <w:r>
              <w:rPr>
                <w:rFonts w:cs="Arial"/>
                <w:color w:val="FFFFFF" w:themeColor="background1"/>
                <w:sz w:val="18"/>
                <w:szCs w:val="18"/>
              </w:rPr>
              <w:t>day)</w:t>
            </w:r>
          </w:p>
          <w:p w14:paraId="557481E0" w14:textId="77777777" w:rsidR="003046E6" w:rsidRPr="00E63CF4" w:rsidRDefault="003046E6" w:rsidP="007E314E">
            <w:pPr>
              <w:jc w:val="center"/>
              <w:rPr>
                <w:rFonts w:cs="Arial"/>
                <w:color w:val="FFFFFF" w:themeColor="background1"/>
                <w:sz w:val="18"/>
                <w:szCs w:val="18"/>
              </w:rPr>
            </w:pPr>
          </w:p>
        </w:tc>
        <w:tc>
          <w:tcPr>
            <w:tcW w:w="1079" w:type="pct"/>
            <w:gridSpan w:val="2"/>
            <w:shd w:val="clear" w:color="auto" w:fill="9BBB59" w:themeFill="accent3"/>
          </w:tcPr>
          <w:p w14:paraId="71A749EF" w14:textId="70A5531E" w:rsidR="003046E6" w:rsidRPr="00E63CF4" w:rsidRDefault="003046E6" w:rsidP="007E314E">
            <w:pPr>
              <w:jc w:val="center"/>
              <w:rPr>
                <w:color w:val="FFFFFF" w:themeColor="background1"/>
              </w:rPr>
            </w:pPr>
            <w:r w:rsidRPr="00E63CF4">
              <w:rPr>
                <w:rFonts w:cs="Arial"/>
                <w:color w:val="FFFFFF" w:themeColor="background1"/>
                <w:sz w:val="18"/>
                <w:szCs w:val="18"/>
              </w:rPr>
              <w:t xml:space="preserve">Estimated dietary exposure to potassium polyaspartate </w:t>
            </w:r>
            <w:r w:rsidR="009415E5">
              <w:rPr>
                <w:rFonts w:cs="Arial"/>
                <w:color w:val="FFFFFF" w:themeColor="background1"/>
                <w:sz w:val="18"/>
                <w:szCs w:val="18"/>
              </w:rPr>
              <w:br/>
            </w:r>
            <w:r w:rsidRPr="00E63CF4">
              <w:rPr>
                <w:rFonts w:cs="Arial"/>
                <w:color w:val="FFFFFF" w:themeColor="background1"/>
                <w:sz w:val="18"/>
                <w:szCs w:val="18"/>
              </w:rPr>
              <w:t>(mg/day)</w:t>
            </w:r>
          </w:p>
        </w:tc>
        <w:tc>
          <w:tcPr>
            <w:tcW w:w="1079" w:type="pct"/>
            <w:gridSpan w:val="2"/>
            <w:shd w:val="clear" w:color="auto" w:fill="9BBB59" w:themeFill="accent3"/>
          </w:tcPr>
          <w:p w14:paraId="39CC54AE" w14:textId="04E45A98" w:rsidR="003046E6" w:rsidRPr="00E63CF4" w:rsidRDefault="003046E6" w:rsidP="007E314E">
            <w:pPr>
              <w:jc w:val="center"/>
              <w:rPr>
                <w:color w:val="FFFFFF" w:themeColor="background1"/>
              </w:rPr>
            </w:pPr>
            <w:r w:rsidRPr="00E63CF4">
              <w:rPr>
                <w:rFonts w:cs="Arial"/>
                <w:color w:val="FFFFFF" w:themeColor="background1"/>
                <w:sz w:val="18"/>
                <w:szCs w:val="18"/>
              </w:rPr>
              <w:t xml:space="preserve">Estimated dietary exposure to potassium polyaspartate </w:t>
            </w:r>
            <w:r w:rsidR="009415E5">
              <w:rPr>
                <w:rFonts w:cs="Arial"/>
                <w:color w:val="FFFFFF" w:themeColor="background1"/>
                <w:sz w:val="18"/>
                <w:szCs w:val="18"/>
              </w:rPr>
              <w:br/>
            </w:r>
            <w:r w:rsidRPr="00E63CF4">
              <w:rPr>
                <w:rFonts w:cs="Arial"/>
                <w:color w:val="FFFFFF" w:themeColor="background1"/>
                <w:sz w:val="18"/>
                <w:szCs w:val="18"/>
              </w:rPr>
              <w:t>(mg/</w:t>
            </w:r>
            <w:r>
              <w:rPr>
                <w:rFonts w:cs="Arial"/>
                <w:color w:val="FFFFFF" w:themeColor="background1"/>
                <w:sz w:val="18"/>
                <w:szCs w:val="18"/>
              </w:rPr>
              <w:t>kg body weight</w:t>
            </w:r>
            <w:r w:rsidRPr="00E63CF4">
              <w:rPr>
                <w:rFonts w:cs="Arial"/>
                <w:color w:val="FFFFFF" w:themeColor="background1"/>
                <w:sz w:val="18"/>
                <w:szCs w:val="18"/>
              </w:rPr>
              <w:t>/day)</w:t>
            </w:r>
          </w:p>
        </w:tc>
      </w:tr>
      <w:tr w:rsidR="003046E6" w14:paraId="0A03276F" w14:textId="77777777" w:rsidTr="00642E69">
        <w:tc>
          <w:tcPr>
            <w:tcW w:w="527" w:type="pct"/>
            <w:vMerge/>
            <w:shd w:val="clear" w:color="auto" w:fill="9BBB59" w:themeFill="accent3"/>
            <w:vAlign w:val="center"/>
          </w:tcPr>
          <w:p w14:paraId="240FB136" w14:textId="77777777" w:rsidR="003046E6" w:rsidRPr="00E63CF4" w:rsidRDefault="003046E6" w:rsidP="007E314E">
            <w:pPr>
              <w:jc w:val="center"/>
              <w:rPr>
                <w:rFonts w:cs="Arial"/>
                <w:color w:val="FFFFFF" w:themeColor="background1"/>
                <w:sz w:val="18"/>
                <w:szCs w:val="18"/>
              </w:rPr>
            </w:pPr>
          </w:p>
        </w:tc>
        <w:tc>
          <w:tcPr>
            <w:tcW w:w="356" w:type="pct"/>
            <w:vMerge/>
            <w:shd w:val="clear" w:color="auto" w:fill="9BBB59" w:themeFill="accent3"/>
            <w:vAlign w:val="center"/>
          </w:tcPr>
          <w:p w14:paraId="090E27FB" w14:textId="77777777" w:rsidR="003046E6" w:rsidRPr="00E63CF4" w:rsidRDefault="003046E6" w:rsidP="007E314E">
            <w:pPr>
              <w:jc w:val="center"/>
              <w:rPr>
                <w:rFonts w:cs="Arial"/>
                <w:color w:val="FFFFFF" w:themeColor="background1"/>
                <w:sz w:val="18"/>
                <w:szCs w:val="18"/>
              </w:rPr>
            </w:pPr>
          </w:p>
        </w:tc>
        <w:tc>
          <w:tcPr>
            <w:tcW w:w="451" w:type="pct"/>
            <w:vMerge/>
            <w:shd w:val="clear" w:color="auto" w:fill="9BBB59" w:themeFill="accent3"/>
            <w:vAlign w:val="center"/>
          </w:tcPr>
          <w:p w14:paraId="7F2086F8" w14:textId="77777777" w:rsidR="003046E6" w:rsidRPr="00E63CF4" w:rsidRDefault="003046E6" w:rsidP="007E314E">
            <w:pPr>
              <w:jc w:val="center"/>
              <w:rPr>
                <w:rFonts w:cs="Arial"/>
                <w:color w:val="FFFFFF" w:themeColor="background1"/>
                <w:sz w:val="18"/>
                <w:szCs w:val="18"/>
              </w:rPr>
            </w:pPr>
          </w:p>
        </w:tc>
        <w:tc>
          <w:tcPr>
            <w:tcW w:w="607" w:type="pct"/>
            <w:vMerge/>
            <w:shd w:val="clear" w:color="auto" w:fill="9BBB59" w:themeFill="accent3"/>
            <w:vAlign w:val="center"/>
          </w:tcPr>
          <w:p w14:paraId="1DE6E08A" w14:textId="77777777" w:rsidR="003046E6" w:rsidRPr="00E63CF4" w:rsidRDefault="003046E6" w:rsidP="007E314E">
            <w:pPr>
              <w:jc w:val="center"/>
              <w:rPr>
                <w:rFonts w:cs="Arial"/>
                <w:color w:val="FFFFFF" w:themeColor="background1"/>
                <w:sz w:val="18"/>
                <w:szCs w:val="18"/>
              </w:rPr>
            </w:pPr>
          </w:p>
        </w:tc>
        <w:tc>
          <w:tcPr>
            <w:tcW w:w="451" w:type="pct"/>
            <w:shd w:val="clear" w:color="auto" w:fill="9BBB59" w:themeFill="accent3"/>
          </w:tcPr>
          <w:p w14:paraId="3D40DF21" w14:textId="77777777" w:rsidR="003046E6" w:rsidRPr="00E63CF4" w:rsidRDefault="003046E6" w:rsidP="007E314E">
            <w:pPr>
              <w:jc w:val="center"/>
              <w:rPr>
                <w:color w:val="FFFFFF" w:themeColor="background1"/>
                <w:sz w:val="18"/>
                <w:szCs w:val="18"/>
              </w:rPr>
            </w:pPr>
            <w:r>
              <w:rPr>
                <w:color w:val="FFFFFF" w:themeColor="background1"/>
                <w:sz w:val="18"/>
                <w:szCs w:val="18"/>
              </w:rPr>
              <w:t>Mean</w:t>
            </w:r>
          </w:p>
        </w:tc>
        <w:tc>
          <w:tcPr>
            <w:tcW w:w="451" w:type="pct"/>
            <w:shd w:val="clear" w:color="auto" w:fill="9BBB59" w:themeFill="accent3"/>
          </w:tcPr>
          <w:p w14:paraId="7CBCDC63" w14:textId="77777777" w:rsidR="003046E6" w:rsidRPr="00E63CF4" w:rsidRDefault="003046E6" w:rsidP="007E314E">
            <w:pPr>
              <w:jc w:val="center"/>
              <w:rPr>
                <w:color w:val="FFFFFF" w:themeColor="background1"/>
                <w:sz w:val="18"/>
                <w:szCs w:val="18"/>
              </w:rPr>
            </w:pPr>
            <w:r>
              <w:rPr>
                <w:color w:val="FFFFFF" w:themeColor="background1"/>
                <w:sz w:val="18"/>
                <w:szCs w:val="18"/>
              </w:rPr>
              <w:t>P90</w:t>
            </w:r>
          </w:p>
        </w:tc>
        <w:tc>
          <w:tcPr>
            <w:tcW w:w="451" w:type="pct"/>
            <w:shd w:val="clear" w:color="auto" w:fill="9BBB59" w:themeFill="accent3"/>
          </w:tcPr>
          <w:p w14:paraId="745FB547" w14:textId="77777777" w:rsidR="003046E6" w:rsidRPr="00E63CF4" w:rsidRDefault="003046E6" w:rsidP="007E314E">
            <w:pPr>
              <w:jc w:val="center"/>
              <w:rPr>
                <w:color w:val="FFFFFF" w:themeColor="background1"/>
                <w:sz w:val="18"/>
                <w:szCs w:val="18"/>
              </w:rPr>
            </w:pPr>
            <w:r w:rsidRPr="00E63CF4">
              <w:rPr>
                <w:color w:val="FFFFFF" w:themeColor="background1"/>
                <w:sz w:val="18"/>
                <w:szCs w:val="18"/>
              </w:rPr>
              <w:t>Mean</w:t>
            </w:r>
          </w:p>
        </w:tc>
        <w:tc>
          <w:tcPr>
            <w:tcW w:w="628" w:type="pct"/>
            <w:shd w:val="clear" w:color="auto" w:fill="9BBB59" w:themeFill="accent3"/>
          </w:tcPr>
          <w:p w14:paraId="16BA539D" w14:textId="77777777" w:rsidR="003046E6" w:rsidRPr="00E63CF4" w:rsidRDefault="003046E6" w:rsidP="007E314E">
            <w:pPr>
              <w:jc w:val="center"/>
              <w:rPr>
                <w:color w:val="FFFFFF" w:themeColor="background1"/>
                <w:sz w:val="18"/>
                <w:szCs w:val="18"/>
              </w:rPr>
            </w:pPr>
            <w:r w:rsidRPr="00E63CF4">
              <w:rPr>
                <w:color w:val="FFFFFF" w:themeColor="background1"/>
                <w:sz w:val="18"/>
                <w:szCs w:val="18"/>
              </w:rPr>
              <w:t>P90</w:t>
            </w:r>
          </w:p>
        </w:tc>
        <w:tc>
          <w:tcPr>
            <w:tcW w:w="451" w:type="pct"/>
            <w:shd w:val="clear" w:color="auto" w:fill="9BBB59" w:themeFill="accent3"/>
          </w:tcPr>
          <w:p w14:paraId="05267A64" w14:textId="77777777" w:rsidR="003046E6" w:rsidRPr="00E63CF4" w:rsidRDefault="003046E6" w:rsidP="007E314E">
            <w:pPr>
              <w:jc w:val="center"/>
              <w:rPr>
                <w:color w:val="FFFFFF" w:themeColor="background1"/>
                <w:sz w:val="18"/>
                <w:szCs w:val="18"/>
              </w:rPr>
            </w:pPr>
            <w:r w:rsidRPr="00E63CF4">
              <w:rPr>
                <w:color w:val="FFFFFF" w:themeColor="background1"/>
                <w:sz w:val="18"/>
                <w:szCs w:val="18"/>
              </w:rPr>
              <w:t>Mean</w:t>
            </w:r>
          </w:p>
        </w:tc>
        <w:tc>
          <w:tcPr>
            <w:tcW w:w="628" w:type="pct"/>
            <w:shd w:val="clear" w:color="auto" w:fill="9BBB59" w:themeFill="accent3"/>
          </w:tcPr>
          <w:p w14:paraId="30320554" w14:textId="77777777" w:rsidR="003046E6" w:rsidRPr="00E63CF4" w:rsidRDefault="003046E6" w:rsidP="007E314E">
            <w:pPr>
              <w:jc w:val="center"/>
              <w:rPr>
                <w:color w:val="FFFFFF" w:themeColor="background1"/>
                <w:sz w:val="18"/>
                <w:szCs w:val="18"/>
              </w:rPr>
            </w:pPr>
            <w:r w:rsidRPr="00E63CF4">
              <w:rPr>
                <w:color w:val="FFFFFF" w:themeColor="background1"/>
                <w:sz w:val="18"/>
                <w:szCs w:val="18"/>
              </w:rPr>
              <w:t>P90</w:t>
            </w:r>
          </w:p>
        </w:tc>
      </w:tr>
      <w:tr w:rsidR="003046E6" w14:paraId="19CD589F" w14:textId="77777777" w:rsidTr="00642E69">
        <w:tc>
          <w:tcPr>
            <w:tcW w:w="527" w:type="pct"/>
            <w:vAlign w:val="center"/>
          </w:tcPr>
          <w:p w14:paraId="360C7E7A" w14:textId="77777777" w:rsidR="003046E6" w:rsidRPr="00CB4A8B" w:rsidRDefault="003046E6" w:rsidP="007E314E">
            <w:pPr>
              <w:rPr>
                <w:b/>
              </w:rPr>
            </w:pPr>
            <w:r w:rsidRPr="00CB4A8B">
              <w:rPr>
                <w:rFonts w:cs="Arial"/>
                <w:b/>
                <w:sz w:val="18"/>
                <w:szCs w:val="18"/>
              </w:rPr>
              <w:t>Australia</w:t>
            </w:r>
            <w:r w:rsidRPr="00CB4A8B">
              <w:rPr>
                <w:rFonts w:cs="Arial"/>
                <w:b/>
                <w:sz w:val="18"/>
                <w:szCs w:val="18"/>
                <w:vertAlign w:val="superscript"/>
              </w:rPr>
              <w:sym w:font="Symbol" w:char="F02A"/>
            </w:r>
          </w:p>
        </w:tc>
        <w:tc>
          <w:tcPr>
            <w:tcW w:w="356" w:type="pct"/>
            <w:vAlign w:val="center"/>
          </w:tcPr>
          <w:p w14:paraId="185CEE28" w14:textId="77777777" w:rsidR="003046E6" w:rsidRDefault="003046E6" w:rsidP="007E314E">
            <w:r w:rsidRPr="00654891">
              <w:rPr>
                <w:rFonts w:cs="Arial"/>
                <w:sz w:val="18"/>
                <w:szCs w:val="18"/>
              </w:rPr>
              <w:t>2 years and above</w:t>
            </w:r>
          </w:p>
        </w:tc>
        <w:tc>
          <w:tcPr>
            <w:tcW w:w="451" w:type="pct"/>
            <w:vAlign w:val="center"/>
          </w:tcPr>
          <w:p w14:paraId="40293438" w14:textId="77777777" w:rsidR="003046E6" w:rsidRDefault="003046E6" w:rsidP="007E314E">
            <w:pPr>
              <w:tabs>
                <w:tab w:val="decimal" w:pos="680"/>
              </w:tabs>
              <w:jc w:val="both"/>
            </w:pPr>
            <w:r w:rsidRPr="00654891">
              <w:rPr>
                <w:rFonts w:cs="Arial"/>
                <w:sz w:val="18"/>
                <w:szCs w:val="18"/>
              </w:rPr>
              <w:t>7</w:t>
            </w:r>
            <w:r>
              <w:rPr>
                <w:rFonts w:cs="Arial"/>
                <w:sz w:val="18"/>
                <w:szCs w:val="18"/>
              </w:rPr>
              <w:t>,</w:t>
            </w:r>
            <w:r w:rsidRPr="00654891">
              <w:rPr>
                <w:rFonts w:cs="Arial"/>
                <w:sz w:val="18"/>
                <w:szCs w:val="18"/>
              </w:rPr>
              <w:t>735</w:t>
            </w:r>
          </w:p>
        </w:tc>
        <w:tc>
          <w:tcPr>
            <w:tcW w:w="607" w:type="pct"/>
            <w:vAlign w:val="center"/>
          </w:tcPr>
          <w:p w14:paraId="07C53152" w14:textId="77777777" w:rsidR="003046E6" w:rsidRPr="007A6099" w:rsidRDefault="003046E6" w:rsidP="007E314E">
            <w:pPr>
              <w:tabs>
                <w:tab w:val="decimal" w:pos="680"/>
              </w:tabs>
              <w:jc w:val="both"/>
              <w:rPr>
                <w:sz w:val="18"/>
                <w:szCs w:val="18"/>
              </w:rPr>
            </w:pPr>
            <w:r w:rsidRPr="007A6099">
              <w:rPr>
                <w:sz w:val="18"/>
                <w:szCs w:val="18"/>
              </w:rPr>
              <w:t>20</w:t>
            </w:r>
          </w:p>
        </w:tc>
        <w:tc>
          <w:tcPr>
            <w:tcW w:w="451" w:type="pct"/>
            <w:vAlign w:val="center"/>
          </w:tcPr>
          <w:p w14:paraId="3301DCA0" w14:textId="77777777" w:rsidR="003046E6" w:rsidRPr="007A6099" w:rsidRDefault="003046E6" w:rsidP="007E314E">
            <w:pPr>
              <w:tabs>
                <w:tab w:val="decimal" w:pos="680"/>
              </w:tabs>
              <w:jc w:val="both"/>
              <w:rPr>
                <w:sz w:val="18"/>
                <w:szCs w:val="18"/>
              </w:rPr>
            </w:pPr>
            <w:r>
              <w:rPr>
                <w:sz w:val="18"/>
                <w:szCs w:val="18"/>
              </w:rPr>
              <w:t>265</w:t>
            </w:r>
          </w:p>
        </w:tc>
        <w:tc>
          <w:tcPr>
            <w:tcW w:w="451" w:type="pct"/>
            <w:vAlign w:val="center"/>
          </w:tcPr>
          <w:p w14:paraId="6979A4B0" w14:textId="77777777" w:rsidR="003046E6" w:rsidRPr="007A6099" w:rsidRDefault="003046E6" w:rsidP="007E314E">
            <w:pPr>
              <w:tabs>
                <w:tab w:val="decimal" w:pos="680"/>
              </w:tabs>
              <w:jc w:val="both"/>
              <w:rPr>
                <w:sz w:val="18"/>
                <w:szCs w:val="18"/>
              </w:rPr>
            </w:pPr>
            <w:r>
              <w:rPr>
                <w:sz w:val="18"/>
                <w:szCs w:val="18"/>
              </w:rPr>
              <w:t>594</w:t>
            </w:r>
          </w:p>
        </w:tc>
        <w:tc>
          <w:tcPr>
            <w:tcW w:w="451" w:type="pct"/>
            <w:vAlign w:val="center"/>
          </w:tcPr>
          <w:p w14:paraId="7AAFE779" w14:textId="48F441E3" w:rsidR="003046E6" w:rsidRPr="00F012C1" w:rsidRDefault="003046E6" w:rsidP="007E314E">
            <w:pPr>
              <w:tabs>
                <w:tab w:val="decimal" w:pos="680"/>
              </w:tabs>
              <w:jc w:val="both"/>
              <w:rPr>
                <w:sz w:val="18"/>
                <w:szCs w:val="18"/>
                <w:highlight w:val="cyan"/>
              </w:rPr>
            </w:pPr>
            <w:r w:rsidRPr="00F012C1">
              <w:rPr>
                <w:sz w:val="18"/>
                <w:szCs w:val="18"/>
              </w:rPr>
              <w:t>2</w:t>
            </w:r>
            <w:r w:rsidR="00F012C1" w:rsidRPr="00F012C1">
              <w:rPr>
                <w:sz w:val="18"/>
                <w:szCs w:val="18"/>
              </w:rPr>
              <w:t>6</w:t>
            </w:r>
          </w:p>
        </w:tc>
        <w:tc>
          <w:tcPr>
            <w:tcW w:w="628" w:type="pct"/>
            <w:vAlign w:val="center"/>
          </w:tcPr>
          <w:p w14:paraId="4950109B" w14:textId="77777777" w:rsidR="003046E6" w:rsidRPr="00F012C1" w:rsidRDefault="003046E6" w:rsidP="007E314E">
            <w:pPr>
              <w:tabs>
                <w:tab w:val="decimal" w:pos="680"/>
              </w:tabs>
              <w:jc w:val="both"/>
              <w:rPr>
                <w:sz w:val="18"/>
                <w:szCs w:val="18"/>
                <w:highlight w:val="cyan"/>
              </w:rPr>
            </w:pPr>
            <w:r w:rsidRPr="007A6099">
              <w:rPr>
                <w:sz w:val="18"/>
                <w:szCs w:val="18"/>
              </w:rPr>
              <w:t>59</w:t>
            </w:r>
          </w:p>
        </w:tc>
        <w:tc>
          <w:tcPr>
            <w:tcW w:w="451" w:type="pct"/>
            <w:vAlign w:val="center"/>
          </w:tcPr>
          <w:p w14:paraId="1F99E9B2" w14:textId="5763E32B" w:rsidR="003046E6" w:rsidRPr="007A6099" w:rsidRDefault="003046E6" w:rsidP="007E314E">
            <w:pPr>
              <w:tabs>
                <w:tab w:val="decimal" w:pos="680"/>
              </w:tabs>
              <w:jc w:val="both"/>
              <w:rPr>
                <w:sz w:val="18"/>
                <w:szCs w:val="18"/>
              </w:rPr>
            </w:pPr>
            <w:r w:rsidRPr="007A6099">
              <w:rPr>
                <w:sz w:val="18"/>
                <w:szCs w:val="18"/>
              </w:rPr>
              <w:t>0.</w:t>
            </w:r>
            <w:r w:rsidRPr="00F012C1">
              <w:rPr>
                <w:sz w:val="18"/>
                <w:szCs w:val="18"/>
              </w:rPr>
              <w:t>3</w:t>
            </w:r>
            <w:r w:rsidR="00F012C1" w:rsidRPr="00F012C1">
              <w:rPr>
                <w:sz w:val="18"/>
                <w:szCs w:val="18"/>
              </w:rPr>
              <w:t>5</w:t>
            </w:r>
          </w:p>
        </w:tc>
        <w:tc>
          <w:tcPr>
            <w:tcW w:w="628" w:type="pct"/>
            <w:vAlign w:val="center"/>
          </w:tcPr>
          <w:p w14:paraId="6EA70DE7" w14:textId="77777777" w:rsidR="003046E6" w:rsidRPr="007A6099" w:rsidRDefault="003046E6" w:rsidP="007E314E">
            <w:pPr>
              <w:tabs>
                <w:tab w:val="decimal" w:pos="680"/>
              </w:tabs>
              <w:jc w:val="both"/>
              <w:rPr>
                <w:sz w:val="18"/>
                <w:szCs w:val="18"/>
              </w:rPr>
            </w:pPr>
            <w:r w:rsidRPr="007A6099">
              <w:rPr>
                <w:sz w:val="18"/>
                <w:szCs w:val="18"/>
              </w:rPr>
              <w:t>0.79</w:t>
            </w:r>
          </w:p>
        </w:tc>
      </w:tr>
      <w:tr w:rsidR="003046E6" w14:paraId="2C4496FC" w14:textId="77777777" w:rsidTr="00642E69">
        <w:tc>
          <w:tcPr>
            <w:tcW w:w="527" w:type="pct"/>
            <w:vMerge w:val="restart"/>
            <w:vAlign w:val="center"/>
          </w:tcPr>
          <w:p w14:paraId="75CD8F6B" w14:textId="77777777" w:rsidR="003046E6" w:rsidRPr="00CB4A8B" w:rsidRDefault="003046E6" w:rsidP="007E314E">
            <w:pPr>
              <w:rPr>
                <w:b/>
              </w:rPr>
            </w:pPr>
            <w:r w:rsidRPr="00CB4A8B">
              <w:rPr>
                <w:rFonts w:cs="Arial"/>
                <w:b/>
                <w:sz w:val="18"/>
                <w:szCs w:val="18"/>
              </w:rPr>
              <w:t>New Zealand</w:t>
            </w:r>
            <w:r w:rsidRPr="00CB4A8B">
              <w:rPr>
                <w:rFonts w:cs="Arial"/>
                <w:b/>
                <w:sz w:val="18"/>
                <w:szCs w:val="18"/>
                <w:vertAlign w:val="superscript"/>
              </w:rPr>
              <w:sym w:font="Symbol" w:char="F0D1"/>
            </w:r>
          </w:p>
        </w:tc>
        <w:tc>
          <w:tcPr>
            <w:tcW w:w="356" w:type="pct"/>
            <w:vAlign w:val="center"/>
          </w:tcPr>
          <w:p w14:paraId="6A03FCE5" w14:textId="77777777" w:rsidR="003046E6" w:rsidRDefault="003046E6" w:rsidP="007E314E">
            <w:r w:rsidRPr="00654891">
              <w:rPr>
                <w:rFonts w:cs="Arial"/>
                <w:sz w:val="18"/>
                <w:szCs w:val="18"/>
              </w:rPr>
              <w:t>5-14 years</w:t>
            </w:r>
          </w:p>
        </w:tc>
        <w:tc>
          <w:tcPr>
            <w:tcW w:w="451" w:type="pct"/>
            <w:vAlign w:val="center"/>
          </w:tcPr>
          <w:p w14:paraId="3609D54D" w14:textId="77777777" w:rsidR="003046E6" w:rsidRDefault="003046E6" w:rsidP="007E314E">
            <w:pPr>
              <w:tabs>
                <w:tab w:val="decimal" w:pos="680"/>
              </w:tabs>
              <w:jc w:val="both"/>
            </w:pPr>
            <w:r w:rsidRPr="00654891">
              <w:rPr>
                <w:rFonts w:cs="Arial"/>
                <w:sz w:val="18"/>
                <w:szCs w:val="18"/>
              </w:rPr>
              <w:t>3</w:t>
            </w:r>
            <w:r>
              <w:rPr>
                <w:rFonts w:cs="Arial"/>
                <w:sz w:val="18"/>
                <w:szCs w:val="18"/>
              </w:rPr>
              <w:t>,</w:t>
            </w:r>
            <w:r w:rsidRPr="00654891">
              <w:rPr>
                <w:rFonts w:cs="Arial"/>
                <w:sz w:val="18"/>
                <w:szCs w:val="18"/>
              </w:rPr>
              <w:t>275</w:t>
            </w:r>
          </w:p>
        </w:tc>
        <w:tc>
          <w:tcPr>
            <w:tcW w:w="607" w:type="pct"/>
            <w:vAlign w:val="center"/>
          </w:tcPr>
          <w:p w14:paraId="3248CB55" w14:textId="77777777" w:rsidR="003046E6" w:rsidRPr="00F012C1" w:rsidRDefault="003046E6" w:rsidP="007E314E">
            <w:pPr>
              <w:tabs>
                <w:tab w:val="decimal" w:pos="680"/>
              </w:tabs>
              <w:jc w:val="both"/>
              <w:rPr>
                <w:sz w:val="18"/>
                <w:szCs w:val="18"/>
                <w:highlight w:val="cyan"/>
              </w:rPr>
            </w:pPr>
            <w:r w:rsidRPr="007A6099">
              <w:rPr>
                <w:sz w:val="18"/>
                <w:szCs w:val="18"/>
              </w:rPr>
              <w:t>3</w:t>
            </w:r>
          </w:p>
        </w:tc>
        <w:tc>
          <w:tcPr>
            <w:tcW w:w="451" w:type="pct"/>
            <w:vAlign w:val="center"/>
          </w:tcPr>
          <w:p w14:paraId="2DAD45FC" w14:textId="77777777" w:rsidR="003046E6" w:rsidRPr="007A6099" w:rsidRDefault="003046E6" w:rsidP="007E314E">
            <w:pPr>
              <w:tabs>
                <w:tab w:val="decimal" w:pos="680"/>
              </w:tabs>
              <w:jc w:val="both"/>
              <w:rPr>
                <w:sz w:val="18"/>
                <w:szCs w:val="18"/>
              </w:rPr>
            </w:pPr>
            <w:r>
              <w:rPr>
                <w:sz w:val="18"/>
                <w:szCs w:val="18"/>
              </w:rPr>
              <w:t>13</w:t>
            </w:r>
          </w:p>
        </w:tc>
        <w:tc>
          <w:tcPr>
            <w:tcW w:w="451" w:type="pct"/>
            <w:vAlign w:val="center"/>
          </w:tcPr>
          <w:p w14:paraId="6B62A0AC" w14:textId="77777777" w:rsidR="003046E6" w:rsidRPr="007A6099" w:rsidRDefault="003046E6" w:rsidP="007E314E">
            <w:pPr>
              <w:tabs>
                <w:tab w:val="decimal" w:pos="680"/>
              </w:tabs>
              <w:jc w:val="both"/>
              <w:rPr>
                <w:sz w:val="18"/>
                <w:szCs w:val="18"/>
              </w:rPr>
            </w:pPr>
            <w:r>
              <w:rPr>
                <w:sz w:val="18"/>
                <w:szCs w:val="18"/>
              </w:rPr>
              <w:t>28</w:t>
            </w:r>
          </w:p>
        </w:tc>
        <w:tc>
          <w:tcPr>
            <w:tcW w:w="451" w:type="pct"/>
            <w:vAlign w:val="center"/>
          </w:tcPr>
          <w:p w14:paraId="41BAD54E" w14:textId="77777777" w:rsidR="003046E6" w:rsidRPr="007A6099" w:rsidRDefault="003046E6" w:rsidP="007E314E">
            <w:pPr>
              <w:tabs>
                <w:tab w:val="decimal" w:pos="680"/>
              </w:tabs>
              <w:jc w:val="both"/>
              <w:rPr>
                <w:sz w:val="18"/>
                <w:szCs w:val="18"/>
              </w:rPr>
            </w:pPr>
            <w:r w:rsidRPr="007A6099">
              <w:rPr>
                <w:sz w:val="18"/>
                <w:szCs w:val="18"/>
              </w:rPr>
              <w:t>1</w:t>
            </w:r>
          </w:p>
        </w:tc>
        <w:tc>
          <w:tcPr>
            <w:tcW w:w="628" w:type="pct"/>
            <w:vAlign w:val="center"/>
          </w:tcPr>
          <w:p w14:paraId="3795DDB0" w14:textId="77777777" w:rsidR="003046E6" w:rsidRPr="007A6099" w:rsidRDefault="003046E6" w:rsidP="007E314E">
            <w:pPr>
              <w:tabs>
                <w:tab w:val="decimal" w:pos="680"/>
              </w:tabs>
              <w:jc w:val="both"/>
              <w:rPr>
                <w:sz w:val="18"/>
                <w:szCs w:val="18"/>
              </w:rPr>
            </w:pPr>
            <w:r w:rsidRPr="007A6099">
              <w:rPr>
                <w:sz w:val="18"/>
                <w:szCs w:val="18"/>
              </w:rPr>
              <w:t>3</w:t>
            </w:r>
          </w:p>
        </w:tc>
        <w:tc>
          <w:tcPr>
            <w:tcW w:w="451" w:type="pct"/>
            <w:vAlign w:val="center"/>
          </w:tcPr>
          <w:p w14:paraId="0B66864D" w14:textId="4EC2DBB7" w:rsidR="003046E6" w:rsidRPr="007A6099" w:rsidRDefault="003046E6" w:rsidP="007E314E">
            <w:pPr>
              <w:tabs>
                <w:tab w:val="decimal" w:pos="680"/>
              </w:tabs>
              <w:jc w:val="both"/>
              <w:rPr>
                <w:sz w:val="18"/>
                <w:szCs w:val="18"/>
              </w:rPr>
            </w:pPr>
            <w:r w:rsidRPr="007A6099">
              <w:rPr>
                <w:sz w:val="18"/>
                <w:szCs w:val="18"/>
              </w:rPr>
              <w:t>0.</w:t>
            </w:r>
            <w:r w:rsidRPr="00F012C1">
              <w:rPr>
                <w:sz w:val="18"/>
                <w:szCs w:val="18"/>
              </w:rPr>
              <w:t>03</w:t>
            </w:r>
            <w:r w:rsidR="00F012C1">
              <w:rPr>
                <w:sz w:val="18"/>
                <w:szCs w:val="18"/>
              </w:rPr>
              <w:t>1</w:t>
            </w:r>
          </w:p>
        </w:tc>
        <w:tc>
          <w:tcPr>
            <w:tcW w:w="628" w:type="pct"/>
            <w:vAlign w:val="center"/>
          </w:tcPr>
          <w:p w14:paraId="773AF7E2" w14:textId="6DC768DC" w:rsidR="003046E6" w:rsidRPr="007A6099" w:rsidRDefault="003046E6" w:rsidP="007E314E">
            <w:pPr>
              <w:tabs>
                <w:tab w:val="decimal" w:pos="680"/>
              </w:tabs>
              <w:jc w:val="both"/>
              <w:rPr>
                <w:sz w:val="18"/>
                <w:szCs w:val="18"/>
              </w:rPr>
            </w:pPr>
            <w:r w:rsidRPr="007A6099">
              <w:rPr>
                <w:sz w:val="18"/>
                <w:szCs w:val="18"/>
              </w:rPr>
              <w:t>0.</w:t>
            </w:r>
            <w:r w:rsidRPr="00F012C1">
              <w:rPr>
                <w:sz w:val="18"/>
                <w:szCs w:val="18"/>
              </w:rPr>
              <w:t>07</w:t>
            </w:r>
            <w:r w:rsidR="00F012C1">
              <w:rPr>
                <w:sz w:val="18"/>
                <w:szCs w:val="18"/>
              </w:rPr>
              <w:t>2</w:t>
            </w:r>
          </w:p>
        </w:tc>
      </w:tr>
      <w:tr w:rsidR="003046E6" w14:paraId="2DDCDB79" w14:textId="77777777" w:rsidTr="00642E69">
        <w:tc>
          <w:tcPr>
            <w:tcW w:w="527" w:type="pct"/>
            <w:vMerge/>
            <w:vAlign w:val="center"/>
          </w:tcPr>
          <w:p w14:paraId="5E60FB04" w14:textId="77777777" w:rsidR="003046E6" w:rsidRDefault="003046E6" w:rsidP="007E314E"/>
        </w:tc>
        <w:tc>
          <w:tcPr>
            <w:tcW w:w="356" w:type="pct"/>
            <w:vAlign w:val="center"/>
          </w:tcPr>
          <w:p w14:paraId="498AAE81" w14:textId="77777777" w:rsidR="003046E6" w:rsidRDefault="003046E6" w:rsidP="007E314E">
            <w:r w:rsidRPr="00654891">
              <w:rPr>
                <w:rFonts w:cs="Arial"/>
                <w:sz w:val="18"/>
                <w:szCs w:val="18"/>
              </w:rPr>
              <w:t>15 years and above</w:t>
            </w:r>
          </w:p>
        </w:tc>
        <w:tc>
          <w:tcPr>
            <w:tcW w:w="451" w:type="pct"/>
            <w:vAlign w:val="center"/>
          </w:tcPr>
          <w:p w14:paraId="685573D6" w14:textId="77777777" w:rsidR="003046E6" w:rsidRDefault="003046E6" w:rsidP="007E314E">
            <w:pPr>
              <w:tabs>
                <w:tab w:val="decimal" w:pos="680"/>
              </w:tabs>
              <w:jc w:val="both"/>
            </w:pPr>
            <w:r w:rsidRPr="00654891">
              <w:rPr>
                <w:rFonts w:cs="Arial"/>
                <w:sz w:val="18"/>
                <w:szCs w:val="18"/>
              </w:rPr>
              <w:t>4</w:t>
            </w:r>
            <w:r>
              <w:rPr>
                <w:rFonts w:cs="Arial"/>
                <w:sz w:val="18"/>
                <w:szCs w:val="18"/>
              </w:rPr>
              <w:t>,</w:t>
            </w:r>
            <w:r w:rsidRPr="00654891">
              <w:rPr>
                <w:rFonts w:cs="Arial"/>
                <w:sz w:val="18"/>
                <w:szCs w:val="18"/>
              </w:rPr>
              <w:t>721</w:t>
            </w:r>
          </w:p>
        </w:tc>
        <w:tc>
          <w:tcPr>
            <w:tcW w:w="607" w:type="pct"/>
            <w:vAlign w:val="center"/>
          </w:tcPr>
          <w:p w14:paraId="3149C4F1" w14:textId="77777777" w:rsidR="003046E6" w:rsidRPr="007A6099" w:rsidRDefault="003046E6" w:rsidP="007E314E">
            <w:pPr>
              <w:tabs>
                <w:tab w:val="decimal" w:pos="680"/>
              </w:tabs>
              <w:jc w:val="both"/>
              <w:rPr>
                <w:sz w:val="18"/>
                <w:szCs w:val="18"/>
              </w:rPr>
            </w:pPr>
            <w:r w:rsidRPr="007A6099">
              <w:rPr>
                <w:sz w:val="18"/>
                <w:szCs w:val="18"/>
              </w:rPr>
              <w:t>18</w:t>
            </w:r>
          </w:p>
        </w:tc>
        <w:tc>
          <w:tcPr>
            <w:tcW w:w="451" w:type="pct"/>
            <w:vAlign w:val="center"/>
          </w:tcPr>
          <w:p w14:paraId="7615101D" w14:textId="77777777" w:rsidR="003046E6" w:rsidRPr="007A6099" w:rsidRDefault="003046E6" w:rsidP="007E314E">
            <w:pPr>
              <w:tabs>
                <w:tab w:val="decimal" w:pos="680"/>
              </w:tabs>
              <w:jc w:val="both"/>
              <w:rPr>
                <w:sz w:val="18"/>
                <w:szCs w:val="18"/>
              </w:rPr>
            </w:pPr>
            <w:r>
              <w:rPr>
                <w:sz w:val="18"/>
                <w:szCs w:val="18"/>
              </w:rPr>
              <w:t>249</w:t>
            </w:r>
          </w:p>
        </w:tc>
        <w:tc>
          <w:tcPr>
            <w:tcW w:w="451" w:type="pct"/>
            <w:vAlign w:val="center"/>
          </w:tcPr>
          <w:p w14:paraId="21181C14" w14:textId="77777777" w:rsidR="003046E6" w:rsidRPr="007A6099" w:rsidRDefault="003046E6" w:rsidP="007E314E">
            <w:pPr>
              <w:tabs>
                <w:tab w:val="decimal" w:pos="680"/>
              </w:tabs>
              <w:jc w:val="both"/>
              <w:rPr>
                <w:sz w:val="18"/>
                <w:szCs w:val="18"/>
              </w:rPr>
            </w:pPr>
            <w:r>
              <w:rPr>
                <w:sz w:val="18"/>
                <w:szCs w:val="18"/>
              </w:rPr>
              <w:t>537</w:t>
            </w:r>
          </w:p>
        </w:tc>
        <w:tc>
          <w:tcPr>
            <w:tcW w:w="451" w:type="pct"/>
            <w:vAlign w:val="center"/>
          </w:tcPr>
          <w:p w14:paraId="34F9E257" w14:textId="77777777" w:rsidR="003046E6" w:rsidRPr="007A6099" w:rsidRDefault="003046E6" w:rsidP="007E314E">
            <w:pPr>
              <w:tabs>
                <w:tab w:val="decimal" w:pos="680"/>
              </w:tabs>
              <w:jc w:val="both"/>
              <w:rPr>
                <w:sz w:val="18"/>
                <w:szCs w:val="18"/>
              </w:rPr>
            </w:pPr>
            <w:r w:rsidRPr="007A6099">
              <w:rPr>
                <w:sz w:val="18"/>
                <w:szCs w:val="18"/>
              </w:rPr>
              <w:t>25</w:t>
            </w:r>
          </w:p>
        </w:tc>
        <w:tc>
          <w:tcPr>
            <w:tcW w:w="628" w:type="pct"/>
            <w:vAlign w:val="center"/>
          </w:tcPr>
          <w:p w14:paraId="716CEA7C" w14:textId="77777777" w:rsidR="003046E6" w:rsidRPr="007A6099" w:rsidRDefault="003046E6" w:rsidP="007E314E">
            <w:pPr>
              <w:tabs>
                <w:tab w:val="decimal" w:pos="680"/>
              </w:tabs>
              <w:jc w:val="both"/>
              <w:rPr>
                <w:sz w:val="18"/>
                <w:szCs w:val="18"/>
              </w:rPr>
            </w:pPr>
            <w:r w:rsidRPr="007A6099">
              <w:rPr>
                <w:sz w:val="18"/>
                <w:szCs w:val="18"/>
              </w:rPr>
              <w:t>54</w:t>
            </w:r>
          </w:p>
        </w:tc>
        <w:tc>
          <w:tcPr>
            <w:tcW w:w="451" w:type="pct"/>
            <w:vAlign w:val="center"/>
          </w:tcPr>
          <w:p w14:paraId="7A6C90CD" w14:textId="77777777" w:rsidR="003046E6" w:rsidRPr="007A6099" w:rsidRDefault="003046E6" w:rsidP="007E314E">
            <w:pPr>
              <w:tabs>
                <w:tab w:val="decimal" w:pos="680"/>
              </w:tabs>
              <w:jc w:val="both"/>
              <w:rPr>
                <w:sz w:val="18"/>
                <w:szCs w:val="18"/>
              </w:rPr>
            </w:pPr>
            <w:r w:rsidRPr="007A6099">
              <w:rPr>
                <w:sz w:val="18"/>
                <w:szCs w:val="18"/>
              </w:rPr>
              <w:t>0.34</w:t>
            </w:r>
          </w:p>
        </w:tc>
        <w:tc>
          <w:tcPr>
            <w:tcW w:w="628" w:type="pct"/>
            <w:vAlign w:val="center"/>
          </w:tcPr>
          <w:p w14:paraId="31FC0F1F" w14:textId="77777777" w:rsidR="003046E6" w:rsidRPr="007A6099" w:rsidRDefault="003046E6" w:rsidP="007E314E">
            <w:pPr>
              <w:tabs>
                <w:tab w:val="decimal" w:pos="680"/>
              </w:tabs>
              <w:jc w:val="both"/>
              <w:rPr>
                <w:sz w:val="18"/>
                <w:szCs w:val="18"/>
              </w:rPr>
            </w:pPr>
            <w:r w:rsidRPr="007A6099">
              <w:rPr>
                <w:sz w:val="18"/>
                <w:szCs w:val="18"/>
              </w:rPr>
              <w:t>0.76</w:t>
            </w:r>
          </w:p>
        </w:tc>
      </w:tr>
    </w:tbl>
    <w:p w14:paraId="0CDC882D" w14:textId="77777777" w:rsidR="003046E6" w:rsidRPr="00C94FFC" w:rsidRDefault="003046E6" w:rsidP="003046E6">
      <w:pPr>
        <w:pStyle w:val="FSBullet1"/>
        <w:numPr>
          <w:ilvl w:val="0"/>
          <w:numId w:val="0"/>
        </w:numPr>
        <w:rPr>
          <w:sz w:val="18"/>
          <w:szCs w:val="18"/>
        </w:rPr>
      </w:pPr>
      <w:r w:rsidRPr="00C94FFC">
        <w:rPr>
          <w:sz w:val="18"/>
          <w:szCs w:val="18"/>
          <w:vertAlign w:val="superscript"/>
        </w:rPr>
        <w:sym w:font="Symbol" w:char="F02A"/>
      </w:r>
      <w:r w:rsidRPr="00C94FFC">
        <w:rPr>
          <w:sz w:val="18"/>
          <w:szCs w:val="18"/>
        </w:rPr>
        <w:tab/>
      </w:r>
      <w:r w:rsidRPr="00696044">
        <w:rPr>
          <w:sz w:val="18"/>
          <w:szCs w:val="18"/>
          <w:lang w:eastAsia="en-AU"/>
        </w:rPr>
        <w:t>2011-12 Australian National Nutrition and Physical Activity Survey</w:t>
      </w:r>
      <w:r>
        <w:rPr>
          <w:sz w:val="18"/>
          <w:szCs w:val="18"/>
        </w:rPr>
        <w:t xml:space="preserve">. </w:t>
      </w:r>
      <w:r w:rsidRPr="00C94FFC">
        <w:rPr>
          <w:sz w:val="18"/>
          <w:szCs w:val="18"/>
        </w:rPr>
        <w:t xml:space="preserve">Based on </w:t>
      </w:r>
      <w:r>
        <w:rPr>
          <w:sz w:val="18"/>
          <w:szCs w:val="18"/>
        </w:rPr>
        <w:t>consumption data from</w:t>
      </w:r>
      <w:r w:rsidRPr="00C94FFC">
        <w:rPr>
          <w:sz w:val="18"/>
          <w:szCs w:val="18"/>
        </w:rPr>
        <w:t xml:space="preserve"> respondents</w:t>
      </w:r>
      <w:r>
        <w:rPr>
          <w:sz w:val="18"/>
          <w:szCs w:val="18"/>
        </w:rPr>
        <w:t xml:space="preserve"> with two days of data</w:t>
      </w:r>
      <w:r w:rsidRPr="00C94FFC">
        <w:rPr>
          <w:sz w:val="18"/>
          <w:szCs w:val="18"/>
        </w:rPr>
        <w:t xml:space="preserve"> only</w:t>
      </w:r>
      <w:r>
        <w:rPr>
          <w:sz w:val="18"/>
          <w:szCs w:val="18"/>
        </w:rPr>
        <w:t>.</w:t>
      </w:r>
    </w:p>
    <w:p w14:paraId="3809A8E0" w14:textId="77929F82" w:rsidR="00D90C81" w:rsidRDefault="003046E6" w:rsidP="003046E6">
      <w:r w:rsidRPr="00C94FFC">
        <w:rPr>
          <w:rFonts w:cs="Arial"/>
          <w:b/>
          <w:sz w:val="18"/>
          <w:szCs w:val="18"/>
          <w:vertAlign w:val="superscript"/>
        </w:rPr>
        <w:sym w:font="Symbol" w:char="F0D1"/>
      </w:r>
      <w:r w:rsidRPr="00C94FFC">
        <w:rPr>
          <w:rFonts w:cs="Arial"/>
          <w:b/>
          <w:sz w:val="18"/>
          <w:szCs w:val="18"/>
          <w:vertAlign w:val="superscript"/>
        </w:rPr>
        <w:tab/>
      </w:r>
      <w:r w:rsidRPr="00696044">
        <w:rPr>
          <w:sz w:val="18"/>
          <w:szCs w:val="18"/>
        </w:rPr>
        <w:t>2002 New Zealand National Children’s Nutrition Survey</w:t>
      </w:r>
      <w:r>
        <w:rPr>
          <w:sz w:val="18"/>
          <w:szCs w:val="18"/>
        </w:rPr>
        <w:t xml:space="preserve"> and the </w:t>
      </w:r>
      <w:r w:rsidRPr="00696044">
        <w:rPr>
          <w:sz w:val="18"/>
          <w:szCs w:val="18"/>
        </w:rPr>
        <w:t>2008–09 New Zealand Adult Nutrition Survey</w:t>
      </w:r>
      <w:r>
        <w:rPr>
          <w:rFonts w:cs="Arial"/>
          <w:sz w:val="18"/>
          <w:szCs w:val="18"/>
        </w:rPr>
        <w:t xml:space="preserve">. </w:t>
      </w:r>
      <w:r w:rsidRPr="00C94FFC">
        <w:rPr>
          <w:rFonts w:cs="Arial"/>
          <w:sz w:val="18"/>
          <w:szCs w:val="18"/>
        </w:rPr>
        <w:t xml:space="preserve">Based on day 1 </w:t>
      </w:r>
      <w:r>
        <w:rPr>
          <w:rFonts w:cs="Arial"/>
          <w:sz w:val="18"/>
          <w:szCs w:val="18"/>
        </w:rPr>
        <w:t xml:space="preserve">consumption data only from all </w:t>
      </w:r>
      <w:r w:rsidRPr="00C94FFC">
        <w:rPr>
          <w:rFonts w:cs="Arial"/>
          <w:sz w:val="18"/>
          <w:szCs w:val="18"/>
        </w:rPr>
        <w:t>respondents</w:t>
      </w:r>
      <w:r>
        <w:rPr>
          <w:rFonts w:cs="Arial"/>
          <w:sz w:val="18"/>
          <w:szCs w:val="18"/>
        </w:rPr>
        <w:t>.</w:t>
      </w:r>
    </w:p>
    <w:p w14:paraId="45E68028" w14:textId="39AD3A42" w:rsidR="00D90C81" w:rsidRDefault="00D90C81" w:rsidP="00D90C81">
      <w:pPr>
        <w:ind w:firstLine="567"/>
      </w:pPr>
      <w:r>
        <w:rPr>
          <w:noProof/>
          <w:lang w:eastAsia="en-GB" w:bidi="ar-SA"/>
        </w:rPr>
        <w:drawing>
          <wp:inline distT="0" distB="0" distL="0" distR="0" wp14:anchorId="66D9826A" wp14:editId="2C409BCD">
            <wp:extent cx="5759450" cy="315813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4531" cy="3160923"/>
                    </a:xfrm>
                    <a:prstGeom prst="rect">
                      <a:avLst/>
                    </a:prstGeom>
                    <a:noFill/>
                  </pic:spPr>
                </pic:pic>
              </a:graphicData>
            </a:graphic>
          </wp:inline>
        </w:drawing>
      </w:r>
    </w:p>
    <w:p w14:paraId="26384DE2" w14:textId="64B010D3" w:rsidR="003046E6" w:rsidRDefault="007B79A2" w:rsidP="007B79A2">
      <w:pPr>
        <w:pStyle w:val="FSTableFigureHeading"/>
        <w:rPr>
          <w:b w:val="0"/>
        </w:rPr>
      </w:pPr>
      <w:bookmarkStart w:id="134" w:name="_Ref522780072"/>
      <w:bookmarkStart w:id="135" w:name="_Ref522780060"/>
      <w:r w:rsidRPr="00321EDA">
        <w:t xml:space="preserve">Figure </w:t>
      </w:r>
      <w:r>
        <w:fldChar w:fldCharType="begin"/>
      </w:r>
      <w:r w:rsidRPr="00321EDA">
        <w:instrText xml:space="preserve"> SEQ Figure \* ARABIC </w:instrText>
      </w:r>
      <w:r>
        <w:fldChar w:fldCharType="separate"/>
      </w:r>
      <w:r w:rsidR="00BB3A80">
        <w:rPr>
          <w:noProof/>
        </w:rPr>
        <w:t>2</w:t>
      </w:r>
      <w:r>
        <w:rPr>
          <w:noProof/>
        </w:rPr>
        <w:fldChar w:fldCharType="end"/>
      </w:r>
      <w:bookmarkEnd w:id="134"/>
      <w:r w:rsidRPr="00321EDA">
        <w:t xml:space="preserve"> </w:t>
      </w:r>
      <w:r w:rsidRPr="007B79A2">
        <w:rPr>
          <w:b w:val="0"/>
        </w:rPr>
        <w:t>Estimated mean and 90th percentile (P90) daily dietary exposures (mg/kg body weight/day) to potassium polyaspartate for Australia and New Zealand consumers only</w:t>
      </w:r>
      <w:bookmarkEnd w:id="135"/>
    </w:p>
    <w:p w14:paraId="34CE02FD" w14:textId="77777777" w:rsidR="003046E6" w:rsidRPr="00D90C81" w:rsidRDefault="003046E6" w:rsidP="007B79A2">
      <w:pPr>
        <w:pStyle w:val="FSTableFigureHeading"/>
        <w:sectPr w:rsidR="003046E6" w:rsidRPr="00D90C81" w:rsidSect="00D90C81">
          <w:footerReference w:type="default" r:id="rId17"/>
          <w:pgSz w:w="11906" w:h="16838"/>
          <w:pgMar w:top="1418" w:right="1418" w:bottom="1418" w:left="1418" w:header="709" w:footer="709" w:gutter="0"/>
          <w:cols w:space="708"/>
          <w:docGrid w:linePitch="360"/>
        </w:sectPr>
      </w:pPr>
    </w:p>
    <w:p w14:paraId="7D357A3C" w14:textId="6B8876DB" w:rsidR="00D2676D" w:rsidRDefault="003F0E5D" w:rsidP="009449B9">
      <w:pPr>
        <w:pStyle w:val="Heading1"/>
      </w:pPr>
      <w:bookmarkStart w:id="136" w:name="_Ref521060873"/>
      <w:bookmarkStart w:id="137" w:name="_Ref521313349"/>
      <w:bookmarkStart w:id="138" w:name="_Toc521330358"/>
      <w:bookmarkStart w:id="139" w:name="_Toc522276791"/>
      <w:bookmarkStart w:id="140" w:name="_Toc522780516"/>
      <w:bookmarkStart w:id="141" w:name="_Toc524342557"/>
      <w:bookmarkEnd w:id="136"/>
      <w:bookmarkEnd w:id="137"/>
      <w:r>
        <w:t>5</w:t>
      </w:r>
      <w:r w:rsidR="00D2676D">
        <w:t xml:space="preserve"> </w:t>
      </w:r>
      <w:r>
        <w:t xml:space="preserve">Hazard and dietary </w:t>
      </w:r>
      <w:r w:rsidRPr="003F0E5D">
        <w:t>exposure</w:t>
      </w:r>
      <w:r>
        <w:t xml:space="preserve"> assessment d</w:t>
      </w:r>
      <w:r w:rsidR="002C2E14">
        <w:t>iscussion</w:t>
      </w:r>
      <w:bookmarkEnd w:id="138"/>
      <w:bookmarkEnd w:id="139"/>
      <w:bookmarkEnd w:id="140"/>
      <w:bookmarkEnd w:id="141"/>
    </w:p>
    <w:p w14:paraId="1895C8FC" w14:textId="4AF7C72C" w:rsidR="00433C37" w:rsidRDefault="00433C37" w:rsidP="005747A6">
      <w:pPr>
        <w:rPr>
          <w:lang w:eastAsia="en-AU" w:bidi="ar-SA"/>
        </w:rPr>
      </w:pPr>
      <w:r>
        <w:rPr>
          <w:lang w:eastAsia="en-AU" w:bidi="ar-SA"/>
        </w:rPr>
        <w:t xml:space="preserve">The submitted </w:t>
      </w:r>
      <w:r w:rsidR="009415E5">
        <w:rPr>
          <w:lang w:eastAsia="en-AU" w:bidi="ar-SA"/>
        </w:rPr>
        <w:t xml:space="preserve">toxicological </w:t>
      </w:r>
      <w:r>
        <w:rPr>
          <w:lang w:eastAsia="en-AU" w:bidi="ar-SA"/>
        </w:rPr>
        <w:t xml:space="preserve">data were considered adequate to determine the hazard of potassium polyaspartate. Potassium polyaspartate </w:t>
      </w:r>
      <w:r w:rsidR="008119BD">
        <w:rPr>
          <w:lang w:eastAsia="en-AU" w:bidi="ar-SA"/>
        </w:rPr>
        <w:t xml:space="preserve">is </w:t>
      </w:r>
      <w:r>
        <w:rPr>
          <w:lang w:eastAsia="en-AU" w:bidi="ar-SA"/>
        </w:rPr>
        <w:t xml:space="preserve">the potassium salt of polyaspartic acid, produced from L-aspartic acid and potassium hydroxide. </w:t>
      </w:r>
      <w:r w:rsidR="00127002">
        <w:rPr>
          <w:lang w:eastAsia="en-AU" w:bidi="ar-SA"/>
        </w:rPr>
        <w:t>The a</w:t>
      </w:r>
      <w:r w:rsidR="008119BD">
        <w:rPr>
          <w:lang w:eastAsia="en-AU" w:bidi="ar-SA"/>
        </w:rPr>
        <w:t xml:space="preserve">pplicant’s proposed specifications are for a minimum purity of 98.0% on a dry matter basis. </w:t>
      </w:r>
    </w:p>
    <w:p w14:paraId="4D502B33" w14:textId="6E87D908" w:rsidR="008119BD" w:rsidRDefault="008119BD" w:rsidP="005747A6">
      <w:pPr>
        <w:rPr>
          <w:lang w:eastAsia="en-AU" w:bidi="ar-SA"/>
        </w:rPr>
      </w:pPr>
    </w:p>
    <w:p w14:paraId="18C2C2DC" w14:textId="3B39F743" w:rsidR="00EB6C2D" w:rsidRDefault="00EC4FE1" w:rsidP="005747A6">
      <w:pPr>
        <w:rPr>
          <w:lang w:eastAsia="en-AU" w:bidi="ar-SA"/>
        </w:rPr>
      </w:pPr>
      <w:r>
        <w:rPr>
          <w:lang w:eastAsia="en-AU" w:bidi="ar-SA"/>
        </w:rPr>
        <w:t>Minimal</w:t>
      </w:r>
      <w:r w:rsidR="00E055BC">
        <w:rPr>
          <w:lang w:eastAsia="en-AU" w:bidi="ar-SA"/>
        </w:rPr>
        <w:t xml:space="preserve"> p</w:t>
      </w:r>
      <w:r w:rsidR="008119BD">
        <w:rPr>
          <w:lang w:eastAsia="en-AU" w:bidi="ar-SA"/>
        </w:rPr>
        <w:t xml:space="preserve">roteolytic digestion of </w:t>
      </w:r>
      <w:r w:rsidR="00E055BC">
        <w:rPr>
          <w:lang w:eastAsia="en-AU" w:bidi="ar-SA"/>
        </w:rPr>
        <w:t xml:space="preserve">potassium polyaspartate was observed </w:t>
      </w:r>
      <w:r w:rsidR="00E055BC" w:rsidRPr="00E055BC">
        <w:rPr>
          <w:i/>
          <w:lang w:eastAsia="en-AU" w:bidi="ar-SA"/>
        </w:rPr>
        <w:t>in vitro</w:t>
      </w:r>
      <w:r w:rsidR="00E055BC">
        <w:rPr>
          <w:lang w:eastAsia="en-AU" w:bidi="ar-SA"/>
        </w:rPr>
        <w:t xml:space="preserve">, and an </w:t>
      </w:r>
      <w:r w:rsidR="00E055BC" w:rsidRPr="00E055BC">
        <w:rPr>
          <w:i/>
          <w:lang w:eastAsia="en-AU" w:bidi="ar-SA"/>
        </w:rPr>
        <w:t>in vitro</w:t>
      </w:r>
      <w:r w:rsidR="00E055BC">
        <w:rPr>
          <w:lang w:eastAsia="en-AU" w:bidi="ar-SA"/>
        </w:rPr>
        <w:t xml:space="preserve"> study </w:t>
      </w:r>
      <w:r w:rsidR="001E6780">
        <w:rPr>
          <w:lang w:eastAsia="en-AU" w:bidi="ar-SA"/>
        </w:rPr>
        <w:t xml:space="preserve">found no evidence of absorption across a </w:t>
      </w:r>
      <w:r w:rsidR="00E055BC">
        <w:rPr>
          <w:lang w:eastAsia="en-AU" w:bidi="ar-SA"/>
        </w:rPr>
        <w:t>human intestinal cell</w:t>
      </w:r>
      <w:r w:rsidR="001E6780">
        <w:rPr>
          <w:lang w:eastAsia="en-AU" w:bidi="ar-SA"/>
        </w:rPr>
        <w:t xml:space="preserve"> monolayer.</w:t>
      </w:r>
      <w:r w:rsidR="00E055BC">
        <w:rPr>
          <w:lang w:eastAsia="en-AU" w:bidi="ar-SA"/>
        </w:rPr>
        <w:t xml:space="preserve"> </w:t>
      </w:r>
    </w:p>
    <w:p w14:paraId="119E49D0" w14:textId="77777777" w:rsidR="00EB6C2D" w:rsidRDefault="00EB6C2D" w:rsidP="005747A6">
      <w:pPr>
        <w:rPr>
          <w:lang w:eastAsia="en-AU" w:bidi="ar-SA"/>
        </w:rPr>
      </w:pPr>
    </w:p>
    <w:p w14:paraId="6C9DF261" w14:textId="4C6D11FC" w:rsidR="008119BD" w:rsidRDefault="007E6DCB" w:rsidP="001E6780">
      <w:pPr>
        <w:rPr>
          <w:lang w:eastAsia="en-AU" w:bidi="ar-SA"/>
        </w:rPr>
      </w:pPr>
      <w:r>
        <w:rPr>
          <w:lang w:eastAsia="en-AU" w:bidi="ar-SA"/>
        </w:rPr>
        <w:t xml:space="preserve">The amount of free aspartic acid released in the </w:t>
      </w:r>
      <w:r w:rsidRPr="007E6DCB">
        <w:rPr>
          <w:i/>
          <w:lang w:eastAsia="en-AU" w:bidi="ar-SA"/>
        </w:rPr>
        <w:t>in vitro</w:t>
      </w:r>
      <w:r>
        <w:rPr>
          <w:lang w:eastAsia="en-AU" w:bidi="ar-SA"/>
        </w:rPr>
        <w:t xml:space="preserve"> intestinal digestion study was less than 6%. </w:t>
      </w:r>
      <w:r w:rsidR="001E6780">
        <w:rPr>
          <w:lang w:eastAsia="en-AU" w:bidi="ar-SA"/>
        </w:rPr>
        <w:t xml:space="preserve">Aspartic acid is a macronutrient and normal component of protein such that dietary intakes from the use of polyaspartate </w:t>
      </w:r>
      <w:r w:rsidR="003402A8">
        <w:rPr>
          <w:lang w:eastAsia="en-AU" w:bidi="ar-SA"/>
        </w:rPr>
        <w:t>(0.10 mg/kg bw/day</w:t>
      </w:r>
      <w:r w:rsidR="003402A8">
        <w:rPr>
          <w:rStyle w:val="FootnoteReference"/>
          <w:lang w:eastAsia="en-AU" w:bidi="ar-SA"/>
        </w:rPr>
        <w:footnoteReference w:id="5"/>
      </w:r>
      <w:r w:rsidR="003402A8">
        <w:rPr>
          <w:lang w:eastAsia="en-AU" w:bidi="ar-SA"/>
        </w:rPr>
        <w:t>)</w:t>
      </w:r>
      <w:r w:rsidR="00D71E00">
        <w:rPr>
          <w:lang w:eastAsia="en-AU" w:bidi="ar-SA"/>
        </w:rPr>
        <w:t xml:space="preserve"> </w:t>
      </w:r>
      <w:r w:rsidR="001E6780">
        <w:rPr>
          <w:lang w:eastAsia="en-AU" w:bidi="ar-SA"/>
        </w:rPr>
        <w:t xml:space="preserve">will be negligible compared to the intake in the normal diet </w:t>
      </w:r>
      <w:r w:rsidR="005A202E" w:rsidRPr="005A202E">
        <w:rPr>
          <w:lang w:eastAsia="en-AU" w:bidi="ar-SA"/>
        </w:rPr>
        <w:t>(highest median and 99th percentile estimates of usual daily intake in the USA are 9.2 g/day and 15.4 g/day, respectively, equivalent to 131 and 220 mg/kg bw/day, respectively for a 70 kg adult [Institute of Medicine 2005]).</w:t>
      </w:r>
      <w:r w:rsidR="005A202E" w:rsidRPr="005A202E" w:rsidDel="001E6780">
        <w:rPr>
          <w:lang w:eastAsia="en-AU" w:bidi="ar-SA"/>
        </w:rPr>
        <w:t xml:space="preserve"> </w:t>
      </w:r>
    </w:p>
    <w:p w14:paraId="3178CB70" w14:textId="4D1F9535" w:rsidR="00E055BC" w:rsidRDefault="00E055BC" w:rsidP="005747A6">
      <w:pPr>
        <w:rPr>
          <w:lang w:eastAsia="en-AU" w:bidi="ar-SA"/>
        </w:rPr>
      </w:pPr>
    </w:p>
    <w:p w14:paraId="4FABFED3" w14:textId="5E8B1217" w:rsidR="00E055BC" w:rsidRDefault="00E06E71" w:rsidP="005747A6">
      <w:pPr>
        <w:rPr>
          <w:lang w:eastAsia="en-AU" w:bidi="ar-SA"/>
        </w:rPr>
      </w:pPr>
      <w:r>
        <w:rPr>
          <w:lang w:eastAsia="en-AU" w:bidi="ar-SA"/>
        </w:rPr>
        <w:t xml:space="preserve">Potassium polyaspartate was not mutagenic, clastogenic or aneugenic </w:t>
      </w:r>
      <w:r w:rsidRPr="00EC4FE1">
        <w:rPr>
          <w:i/>
          <w:lang w:eastAsia="en-AU" w:bidi="ar-SA"/>
        </w:rPr>
        <w:t>in vitro</w:t>
      </w:r>
      <w:r>
        <w:rPr>
          <w:lang w:eastAsia="en-AU" w:bidi="ar-SA"/>
        </w:rPr>
        <w:t xml:space="preserve">. </w:t>
      </w:r>
      <w:r w:rsidR="00E055BC">
        <w:rPr>
          <w:lang w:eastAsia="en-AU" w:bidi="ar-SA"/>
        </w:rPr>
        <w:t>No adverse effe</w:t>
      </w:r>
      <w:r w:rsidR="00D727C5">
        <w:rPr>
          <w:lang w:eastAsia="en-AU" w:bidi="ar-SA"/>
        </w:rPr>
        <w:t>cts were observed in 14-day and</w:t>
      </w:r>
      <w:r w:rsidR="00E055BC">
        <w:rPr>
          <w:lang w:eastAsia="en-AU" w:bidi="ar-SA"/>
        </w:rPr>
        <w:t xml:space="preserve"> 90-day repeated dose oral toxicity studies in rats at doses up to 1000 mg/kg bw/day, the highest dose tested. </w:t>
      </w:r>
    </w:p>
    <w:p w14:paraId="684E2DAD" w14:textId="4C00C61D" w:rsidR="00EC4FE1" w:rsidRDefault="00EC4FE1" w:rsidP="005747A6">
      <w:pPr>
        <w:rPr>
          <w:lang w:eastAsia="en-AU" w:bidi="ar-SA"/>
        </w:rPr>
      </w:pPr>
    </w:p>
    <w:p w14:paraId="54BD1FC6" w14:textId="479FC795" w:rsidR="00EC4FE1" w:rsidRDefault="00B45686" w:rsidP="005747A6">
      <w:r w:rsidRPr="00272753">
        <w:rPr>
          <w:lang w:val="en-AU"/>
        </w:rPr>
        <w:t>No chronic</w:t>
      </w:r>
      <w:r>
        <w:rPr>
          <w:lang w:val="en-AU"/>
        </w:rPr>
        <w:t xml:space="preserve"> toxicity/</w:t>
      </w:r>
      <w:r w:rsidRPr="00272753">
        <w:rPr>
          <w:lang w:val="en-AU"/>
        </w:rPr>
        <w:t xml:space="preserve">carcinogenicity studies of </w:t>
      </w:r>
      <w:r>
        <w:rPr>
          <w:lang w:val="en-AU"/>
        </w:rPr>
        <w:t>potassium polyaspartate</w:t>
      </w:r>
      <w:r w:rsidRPr="00272753">
        <w:rPr>
          <w:lang w:val="en-AU"/>
        </w:rPr>
        <w:t xml:space="preserve"> </w:t>
      </w:r>
      <w:r w:rsidR="005A202E">
        <w:rPr>
          <w:lang w:val="en-AU"/>
        </w:rPr>
        <w:t>were submitted</w:t>
      </w:r>
      <w:r w:rsidRPr="00272753">
        <w:rPr>
          <w:lang w:val="en-AU"/>
        </w:rPr>
        <w:t xml:space="preserve">. </w:t>
      </w:r>
      <w:r>
        <w:t xml:space="preserve">Such studies are not considered necessary </w:t>
      </w:r>
      <w:r w:rsidR="006C1F6B">
        <w:t xml:space="preserve">based on </w:t>
      </w:r>
      <w:r w:rsidRPr="00B45686">
        <w:rPr>
          <w:i/>
        </w:rPr>
        <w:t>in vitro</w:t>
      </w:r>
      <w:r>
        <w:t xml:space="preserve"> evidence indicating gastrointestinal digestion and absorption</w:t>
      </w:r>
      <w:r w:rsidR="003402A8">
        <w:t xml:space="preserve"> is likely to be minimal</w:t>
      </w:r>
      <w:r>
        <w:t>, the absence of genotoxicity and no evidence from subchronic studies of lesions that could lead to neoplasia through non</w:t>
      </w:r>
      <w:r w:rsidR="00AA1582">
        <w:t>-</w:t>
      </w:r>
      <w:r>
        <w:t>genotoxic mechanisms.</w:t>
      </w:r>
    </w:p>
    <w:p w14:paraId="60FD2C05" w14:textId="257CAFCF" w:rsidR="00B45686" w:rsidRDefault="00B45686" w:rsidP="005747A6"/>
    <w:p w14:paraId="79C687A2" w14:textId="0FF0950E" w:rsidR="00F52074" w:rsidRDefault="00B45686" w:rsidP="005747A6">
      <w:pPr>
        <w:rPr>
          <w:lang w:val="en-AU"/>
        </w:rPr>
      </w:pPr>
      <w:r w:rsidRPr="00272753">
        <w:rPr>
          <w:lang w:val="en-AU"/>
        </w:rPr>
        <w:t xml:space="preserve">No </w:t>
      </w:r>
      <w:r>
        <w:rPr>
          <w:lang w:val="en-AU"/>
        </w:rPr>
        <w:t>reproductive or developmental toxicity</w:t>
      </w:r>
      <w:r w:rsidRPr="00272753">
        <w:rPr>
          <w:lang w:val="en-AU"/>
        </w:rPr>
        <w:t xml:space="preserve"> studies of </w:t>
      </w:r>
      <w:r>
        <w:rPr>
          <w:lang w:val="en-AU"/>
        </w:rPr>
        <w:t>potassium polyaspartate</w:t>
      </w:r>
      <w:r w:rsidRPr="00272753">
        <w:rPr>
          <w:lang w:val="en-AU"/>
        </w:rPr>
        <w:t xml:space="preserve"> </w:t>
      </w:r>
      <w:r w:rsidR="005A202E">
        <w:rPr>
          <w:lang w:val="en-AU"/>
        </w:rPr>
        <w:t>were identified</w:t>
      </w:r>
      <w:r>
        <w:rPr>
          <w:lang w:val="en-AU"/>
        </w:rPr>
        <w:t>. Base</w:t>
      </w:r>
      <w:r w:rsidR="00C93401">
        <w:rPr>
          <w:lang w:val="en-AU"/>
        </w:rPr>
        <w:t xml:space="preserve">d on the </w:t>
      </w:r>
      <w:r w:rsidR="003402A8">
        <w:rPr>
          <w:lang w:val="en-AU"/>
        </w:rPr>
        <w:t xml:space="preserve">likely </w:t>
      </w:r>
      <w:r w:rsidR="00C93401">
        <w:rPr>
          <w:lang w:val="en-AU"/>
        </w:rPr>
        <w:t>negligible digestion and</w:t>
      </w:r>
      <w:r>
        <w:rPr>
          <w:lang w:val="en-AU"/>
        </w:rPr>
        <w:t xml:space="preserve"> absorption of potassium polyaspartate, the </w:t>
      </w:r>
      <w:r w:rsidR="00DC2890">
        <w:rPr>
          <w:lang w:val="en-AU"/>
        </w:rPr>
        <w:t>lack</w:t>
      </w:r>
      <w:r>
        <w:rPr>
          <w:lang w:val="en-AU"/>
        </w:rPr>
        <w:t xml:space="preserve"> of genotoxicity and no evidence of adverse effects on reproductive tissues or the oestrus cycle in the 90</w:t>
      </w:r>
      <w:r w:rsidR="00F52074">
        <w:rPr>
          <w:lang w:val="en-AU"/>
        </w:rPr>
        <w:t>-</w:t>
      </w:r>
      <w:r>
        <w:rPr>
          <w:lang w:val="en-AU"/>
        </w:rPr>
        <w:t>day toxicity study, such studies are not considered necessary.</w:t>
      </w:r>
    </w:p>
    <w:p w14:paraId="0083043E" w14:textId="2B370BB2" w:rsidR="00BD4007" w:rsidRDefault="00BD4007" w:rsidP="005747A6">
      <w:pPr>
        <w:rPr>
          <w:lang w:val="en-AU"/>
        </w:rPr>
      </w:pPr>
    </w:p>
    <w:p w14:paraId="4E1CDDC0" w14:textId="0F3CBF31" w:rsidR="006F48DE" w:rsidRDefault="006F48DE" w:rsidP="006F48DE">
      <w:pPr>
        <w:rPr>
          <w:lang w:eastAsia="en-AU"/>
        </w:rPr>
      </w:pPr>
      <w:r w:rsidRPr="000E223D">
        <w:rPr>
          <w:rFonts w:eastAsia="Calibri"/>
        </w:rPr>
        <w:t xml:space="preserve">The NOAEL in </w:t>
      </w:r>
      <w:r>
        <w:rPr>
          <w:rFonts w:eastAsia="Calibri"/>
        </w:rPr>
        <w:t>the 90-day</w:t>
      </w:r>
      <w:r w:rsidRPr="000E223D">
        <w:rPr>
          <w:rFonts w:eastAsia="Calibri"/>
        </w:rPr>
        <w:t xml:space="preserve"> repeat</w:t>
      </w:r>
      <w:r>
        <w:rPr>
          <w:rFonts w:eastAsia="Calibri"/>
        </w:rPr>
        <w:t>ed</w:t>
      </w:r>
      <w:r w:rsidRPr="000E223D">
        <w:rPr>
          <w:rFonts w:eastAsia="Calibri"/>
        </w:rPr>
        <w:t xml:space="preserve"> dose oral toxicity study in rats </w:t>
      </w:r>
      <w:r>
        <w:rPr>
          <w:rFonts w:eastAsia="Calibri"/>
        </w:rPr>
        <w:t>(</w:t>
      </w:r>
      <w:r>
        <w:rPr>
          <w:lang w:eastAsia="en-AU"/>
        </w:rPr>
        <w:t>1000 mg/kg bw/day) is more than 1200-fold higher than the highest 90</w:t>
      </w:r>
      <w:r w:rsidRPr="00E13FB7">
        <w:rPr>
          <w:vertAlign w:val="superscript"/>
          <w:lang w:eastAsia="en-AU"/>
        </w:rPr>
        <w:t>th</w:t>
      </w:r>
      <w:r>
        <w:rPr>
          <w:lang w:eastAsia="en-AU"/>
        </w:rPr>
        <w:t xml:space="preserve"> percentile exposure to potassium polyaspartate in the dietary exposure assessment (0.79 mg/kg bw/day).</w:t>
      </w:r>
    </w:p>
    <w:p w14:paraId="287F66C9" w14:textId="77777777" w:rsidR="006F48DE" w:rsidRDefault="006F48DE" w:rsidP="006F48DE">
      <w:pPr>
        <w:rPr>
          <w:lang w:val="en-AU"/>
        </w:rPr>
      </w:pPr>
    </w:p>
    <w:p w14:paraId="1EC77F5D" w14:textId="5F898894" w:rsidR="00BD4007" w:rsidRDefault="00BD4007" w:rsidP="006F48DE">
      <w:pPr>
        <w:rPr>
          <w:lang w:val="en-AU" w:eastAsia="en-AU" w:bidi="ar-SA"/>
        </w:rPr>
      </w:pPr>
      <w:r w:rsidRPr="003E0346">
        <w:rPr>
          <w:lang w:val="en-AU" w:eastAsia="en-AU" w:bidi="ar-SA"/>
        </w:rPr>
        <w:t>Based on the reviewed data, it is concluded that in the absence of any identifiable hazard, an Acceptable Daily Intake (ADI</w:t>
      </w:r>
      <w:r>
        <w:rPr>
          <w:lang w:val="en-AU" w:eastAsia="en-AU" w:bidi="ar-SA"/>
        </w:rPr>
        <w:t>)</w:t>
      </w:r>
      <w:r w:rsidRPr="003E0346">
        <w:rPr>
          <w:lang w:val="en-AU" w:eastAsia="en-AU" w:bidi="ar-SA"/>
        </w:rPr>
        <w:t xml:space="preserve"> ‘not specified’ is appropriate</w:t>
      </w:r>
      <w:r>
        <w:rPr>
          <w:lang w:val="en-AU" w:eastAsia="en-AU" w:bidi="ar-SA"/>
        </w:rPr>
        <w:t xml:space="preserve"> for potassium polyaspartate</w:t>
      </w:r>
      <w:r w:rsidRPr="003E0346">
        <w:rPr>
          <w:lang w:val="en-AU" w:eastAsia="en-AU" w:bidi="ar-SA"/>
        </w:rPr>
        <w:t>.</w:t>
      </w:r>
    </w:p>
    <w:p w14:paraId="0EB31418" w14:textId="77777777" w:rsidR="00F52074" w:rsidRDefault="00F52074" w:rsidP="005747A6">
      <w:pPr>
        <w:rPr>
          <w:lang w:val="en-AU"/>
        </w:rPr>
      </w:pPr>
    </w:p>
    <w:p w14:paraId="3EF7E170" w14:textId="27DBFFFB" w:rsidR="00D2676D" w:rsidRPr="003F0E5D" w:rsidRDefault="003F0E5D" w:rsidP="009449B9">
      <w:pPr>
        <w:pStyle w:val="Heading2"/>
      </w:pPr>
      <w:bookmarkStart w:id="142" w:name="_Toc521330359"/>
      <w:bookmarkStart w:id="143" w:name="_Toc522276792"/>
      <w:bookmarkStart w:id="144" w:name="_Toc522780517"/>
      <w:bookmarkStart w:id="145" w:name="_Toc524342558"/>
      <w:r w:rsidRPr="003F0E5D">
        <w:t xml:space="preserve">5.1 </w:t>
      </w:r>
      <w:r w:rsidR="006D6820" w:rsidRPr="003F0E5D">
        <w:t xml:space="preserve">Hazard and dietary </w:t>
      </w:r>
      <w:r w:rsidR="00D2676D" w:rsidRPr="003F0E5D">
        <w:t>assessment conclusions</w:t>
      </w:r>
      <w:bookmarkEnd w:id="142"/>
      <w:bookmarkEnd w:id="143"/>
      <w:bookmarkEnd w:id="144"/>
      <w:bookmarkEnd w:id="145"/>
    </w:p>
    <w:p w14:paraId="48306FCE" w14:textId="7A55ED0B" w:rsidR="00DF6738" w:rsidRDefault="00F52074" w:rsidP="00F52074">
      <w:pPr>
        <w:rPr>
          <w:lang w:val="en-AU" w:eastAsia="en-AU" w:bidi="ar-SA"/>
        </w:rPr>
      </w:pPr>
      <w:r w:rsidRPr="003E0346">
        <w:rPr>
          <w:lang w:val="en-AU" w:eastAsia="en-AU" w:bidi="ar-SA"/>
        </w:rPr>
        <w:t xml:space="preserve">Based on the </w:t>
      </w:r>
      <w:r w:rsidR="007F31EA">
        <w:rPr>
          <w:lang w:val="en-AU" w:eastAsia="en-AU" w:bidi="ar-SA"/>
        </w:rPr>
        <w:t>available toxicological evidence</w:t>
      </w:r>
      <w:r w:rsidR="00536132">
        <w:rPr>
          <w:lang w:val="en-AU" w:eastAsia="en-AU" w:bidi="ar-SA"/>
        </w:rPr>
        <w:t xml:space="preserve"> and</w:t>
      </w:r>
      <w:r w:rsidR="007E314E">
        <w:rPr>
          <w:lang w:val="en-AU" w:eastAsia="en-AU" w:bidi="ar-SA"/>
        </w:rPr>
        <w:t xml:space="preserve"> the dietary exposure assessment</w:t>
      </w:r>
      <w:r w:rsidR="007F31EA">
        <w:rPr>
          <w:lang w:val="en-AU" w:eastAsia="en-AU" w:bidi="ar-SA"/>
        </w:rPr>
        <w:t xml:space="preserve"> there are no public health and safety concerns from the use of potassium polyaspartate as a food additive in wine at the proposed levels. </w:t>
      </w:r>
    </w:p>
    <w:p w14:paraId="1E9700A7" w14:textId="77777777" w:rsidR="00F52074" w:rsidRDefault="00F52074" w:rsidP="00F52074"/>
    <w:p w14:paraId="044CFC37" w14:textId="250B7985" w:rsidR="00D2676D" w:rsidRPr="00D2676D" w:rsidRDefault="00A324D2" w:rsidP="00127002">
      <w:pPr>
        <w:pStyle w:val="Heading1"/>
      </w:pPr>
      <w:bookmarkStart w:id="146" w:name="_Toc521330360"/>
      <w:bookmarkStart w:id="147" w:name="_Toc522276793"/>
      <w:bookmarkStart w:id="148" w:name="_Toc522780518"/>
      <w:bookmarkStart w:id="149" w:name="_Toc524342559"/>
      <w:r>
        <w:t xml:space="preserve">6 </w:t>
      </w:r>
      <w:r w:rsidR="004846CB">
        <w:t>References</w:t>
      </w:r>
      <w:bookmarkEnd w:id="146"/>
      <w:bookmarkEnd w:id="147"/>
      <w:bookmarkEnd w:id="148"/>
      <w:bookmarkEnd w:id="149"/>
    </w:p>
    <w:p w14:paraId="49F1100D" w14:textId="77777777" w:rsidR="006032BF" w:rsidRPr="00E43D84" w:rsidRDefault="006032BF" w:rsidP="006032BF">
      <w:pPr>
        <w:pStyle w:val="CitaviBibliographyEntry"/>
      </w:pPr>
      <w:bookmarkStart w:id="150" w:name="_CTVL0011cd5b6931e674dcfb473453ba30923e3"/>
      <w:r>
        <w:t xml:space="preserve">ABS (2015), </w:t>
      </w:r>
      <w:bookmarkEnd w:id="150"/>
      <w:r w:rsidRPr="00E43D84">
        <w:t>National Nutrition and Physical Activity Survey, 2011-12, Basic CURF, CD-ROM. 2nd Edition.</w:t>
      </w:r>
    </w:p>
    <w:p w14:paraId="38D7F563" w14:textId="77777777" w:rsidR="006032BF" w:rsidRDefault="006032BF" w:rsidP="00C422AF">
      <w:pPr>
        <w:rPr>
          <w:lang w:eastAsia="en-AU" w:bidi="ar-SA"/>
        </w:rPr>
      </w:pPr>
    </w:p>
    <w:p w14:paraId="3A229A7D" w14:textId="637565F6" w:rsidR="00066D3A" w:rsidRDefault="00066D3A" w:rsidP="00066D3A">
      <w:pPr>
        <w:rPr>
          <w:lang w:eastAsia="en-AU" w:bidi="ar-SA"/>
        </w:rPr>
      </w:pPr>
      <w:r>
        <w:rPr>
          <w:lang w:eastAsia="en-AU" w:bidi="ar-SA"/>
        </w:rPr>
        <w:t xml:space="preserve">Bosso, A (2015a) Project STABIWINE: Use of Biopolymers for Sustainable Stabilisation of Quality Wines, Grant Agreement 314903. Deliverable D 2.2. Final report on polyaminoacid performance on wine tartaric stability. </w:t>
      </w:r>
    </w:p>
    <w:p w14:paraId="7089EDA8" w14:textId="0097DE92" w:rsidR="00066D3A" w:rsidRDefault="00066D3A" w:rsidP="00C422AF">
      <w:pPr>
        <w:rPr>
          <w:lang w:eastAsia="en-AU" w:bidi="ar-SA"/>
        </w:rPr>
      </w:pPr>
    </w:p>
    <w:p w14:paraId="59D8208F" w14:textId="38413D76" w:rsidR="00C156B5" w:rsidRDefault="00040B5F" w:rsidP="00C422AF">
      <w:pPr>
        <w:rPr>
          <w:lang w:eastAsia="en-AU" w:bidi="ar-SA"/>
        </w:rPr>
      </w:pPr>
      <w:r>
        <w:rPr>
          <w:lang w:eastAsia="en-AU" w:bidi="ar-SA"/>
        </w:rPr>
        <w:t>Bosso</w:t>
      </w:r>
      <w:r w:rsidR="00C156B5">
        <w:rPr>
          <w:lang w:eastAsia="en-AU" w:bidi="ar-SA"/>
        </w:rPr>
        <w:t xml:space="preserve"> A</w:t>
      </w:r>
      <w:r>
        <w:rPr>
          <w:lang w:eastAsia="en-AU" w:bidi="ar-SA"/>
        </w:rPr>
        <w:t xml:space="preserve">, Panero L, Petrozziello M, Sollazzo M, Asproudi A, Motta S, Massimo Guiata M,   </w:t>
      </w:r>
      <w:r w:rsidR="00C156B5">
        <w:rPr>
          <w:lang w:eastAsia="en-AU" w:bidi="ar-SA"/>
        </w:rPr>
        <w:t>(2015</w:t>
      </w:r>
      <w:r w:rsidR="00066D3A">
        <w:rPr>
          <w:lang w:eastAsia="en-AU" w:bidi="ar-SA"/>
        </w:rPr>
        <w:t>b</w:t>
      </w:r>
      <w:r>
        <w:rPr>
          <w:lang w:eastAsia="en-AU" w:bidi="ar-SA"/>
        </w:rPr>
        <w:t xml:space="preserve">). Use of polyaspartate as inhibitor of tartaric precipitation in wines. Food Chemistry. 185, 1-6. </w:t>
      </w:r>
    </w:p>
    <w:p w14:paraId="0B1ECE20" w14:textId="77777777" w:rsidR="00C156B5" w:rsidRDefault="00C156B5" w:rsidP="00C422AF">
      <w:pPr>
        <w:rPr>
          <w:lang w:eastAsia="en-AU" w:bidi="ar-SA"/>
        </w:rPr>
      </w:pPr>
    </w:p>
    <w:p w14:paraId="38EFD7EF" w14:textId="45904314" w:rsidR="007A6E80" w:rsidRDefault="007A6E80" w:rsidP="00C422AF">
      <w:pPr>
        <w:rPr>
          <w:lang w:eastAsia="en-AU" w:bidi="ar-SA"/>
        </w:rPr>
      </w:pPr>
      <w:r>
        <w:rPr>
          <w:lang w:eastAsia="en-AU" w:bidi="ar-SA"/>
        </w:rPr>
        <w:t xml:space="preserve">Codex Alimentarius Commission, Codex </w:t>
      </w:r>
      <w:r w:rsidR="00391C06">
        <w:rPr>
          <w:lang w:eastAsia="en-AU" w:bidi="ar-SA"/>
        </w:rPr>
        <w:t>C</w:t>
      </w:r>
      <w:r>
        <w:rPr>
          <w:lang w:eastAsia="en-AU" w:bidi="ar-SA"/>
        </w:rPr>
        <w:t xml:space="preserve">ommittee on </w:t>
      </w:r>
      <w:r w:rsidR="00391C06">
        <w:rPr>
          <w:lang w:eastAsia="en-AU" w:bidi="ar-SA"/>
        </w:rPr>
        <w:t>F</w:t>
      </w:r>
      <w:r>
        <w:rPr>
          <w:lang w:eastAsia="en-AU" w:bidi="ar-SA"/>
        </w:rPr>
        <w:t xml:space="preserve">ood </w:t>
      </w:r>
      <w:r w:rsidR="00391C06">
        <w:rPr>
          <w:lang w:eastAsia="en-AU" w:bidi="ar-SA"/>
        </w:rPr>
        <w:t>A</w:t>
      </w:r>
      <w:r>
        <w:rPr>
          <w:lang w:eastAsia="en-AU" w:bidi="ar-SA"/>
        </w:rPr>
        <w:t>dditives 50</w:t>
      </w:r>
      <w:r w:rsidRPr="007A6E80">
        <w:rPr>
          <w:vertAlign w:val="superscript"/>
          <w:lang w:eastAsia="en-AU" w:bidi="ar-SA"/>
        </w:rPr>
        <w:t>th</w:t>
      </w:r>
      <w:r>
        <w:rPr>
          <w:lang w:eastAsia="en-AU" w:bidi="ar-SA"/>
        </w:rPr>
        <w:t xml:space="preserve"> session. (2018). </w:t>
      </w:r>
      <w:hyperlink r:id="rId18" w:history="1">
        <w:r w:rsidRPr="007A6E80">
          <w:rPr>
            <w:rStyle w:val="Hyperlink"/>
            <w:lang w:eastAsia="en-AU" w:bidi="ar-SA"/>
          </w:rPr>
          <w:t>Agenda item 7, Proposals for additions and changes to the priority list of substances proposed for evaluation by JECFA.</w:t>
        </w:r>
      </w:hyperlink>
      <w:r>
        <w:rPr>
          <w:lang w:eastAsia="en-AU" w:bidi="ar-SA"/>
        </w:rPr>
        <w:t xml:space="preserve"> Accessed 30 Jul 2018. </w:t>
      </w:r>
    </w:p>
    <w:p w14:paraId="1BFE8BA2" w14:textId="77777777" w:rsidR="007A6E80" w:rsidRDefault="007A6E80" w:rsidP="00C422AF">
      <w:pPr>
        <w:rPr>
          <w:lang w:eastAsia="en-AU" w:bidi="ar-SA"/>
        </w:rPr>
      </w:pPr>
    </w:p>
    <w:p w14:paraId="46FF3911" w14:textId="41035C11" w:rsidR="00C422AF" w:rsidRDefault="00FA4AFA" w:rsidP="00C422AF">
      <w:pPr>
        <w:rPr>
          <w:lang w:eastAsia="en-AU" w:bidi="ar-SA"/>
        </w:rPr>
      </w:pPr>
      <w:r>
        <w:rPr>
          <w:lang w:eastAsia="en-AU" w:bidi="ar-SA"/>
        </w:rPr>
        <w:t xml:space="preserve">EFSA </w:t>
      </w:r>
      <w:r w:rsidR="00C422AF">
        <w:rPr>
          <w:lang w:eastAsia="en-AU" w:bidi="ar-SA"/>
        </w:rPr>
        <w:t>ANS Panel (EFSA Panel on Food Additives and Nutrient Sources added to</w:t>
      </w:r>
    </w:p>
    <w:p w14:paraId="5E68D617" w14:textId="483D2DD2" w:rsidR="00D2676D" w:rsidRDefault="00C422AF" w:rsidP="00C422AF">
      <w:pPr>
        <w:rPr>
          <w:lang w:eastAsia="en-AU" w:bidi="ar-SA"/>
        </w:rPr>
      </w:pPr>
      <w:r>
        <w:rPr>
          <w:lang w:eastAsia="en-AU" w:bidi="ar-SA"/>
        </w:rPr>
        <w:t xml:space="preserve">Food) </w:t>
      </w:r>
      <w:r w:rsidR="00FA4AFA">
        <w:rPr>
          <w:lang w:eastAsia="en-AU" w:bidi="ar-SA"/>
        </w:rPr>
        <w:t xml:space="preserve">(2012). Guidance for submission for food additive evaluations. EFSA Journal </w:t>
      </w:r>
      <w:r>
        <w:rPr>
          <w:lang w:eastAsia="en-AU" w:bidi="ar-SA"/>
        </w:rPr>
        <w:t>10(7):2760, 60 pp.</w:t>
      </w:r>
      <w:r w:rsidR="00FA4AFA">
        <w:rPr>
          <w:lang w:eastAsia="en-AU" w:bidi="ar-SA"/>
        </w:rPr>
        <w:t xml:space="preserve"> doi:10.2903/j.efsa.2012.2760.</w:t>
      </w:r>
    </w:p>
    <w:p w14:paraId="5CAE6338" w14:textId="77777777" w:rsidR="00C422AF" w:rsidRDefault="00C422AF" w:rsidP="00FA4AFA">
      <w:pPr>
        <w:rPr>
          <w:lang w:eastAsia="en-AU" w:bidi="ar-SA"/>
        </w:rPr>
      </w:pPr>
    </w:p>
    <w:p w14:paraId="4B7711F9" w14:textId="77777777" w:rsidR="00C422AF" w:rsidRDefault="00C422AF" w:rsidP="00C422AF">
      <w:pPr>
        <w:rPr>
          <w:lang w:eastAsia="en-AU" w:bidi="ar-SA"/>
        </w:rPr>
      </w:pPr>
      <w:r>
        <w:rPr>
          <w:lang w:eastAsia="en-AU" w:bidi="ar-SA"/>
        </w:rPr>
        <w:t>EFSA ANS Panel (EFSA Panel on Food Additives and Nutrient Sources added to</w:t>
      </w:r>
    </w:p>
    <w:p w14:paraId="6D569FCA" w14:textId="4EEC0726" w:rsidR="00C422AF" w:rsidRDefault="00C422AF" w:rsidP="00C422AF">
      <w:pPr>
        <w:rPr>
          <w:lang w:eastAsia="en-AU" w:bidi="ar-SA"/>
        </w:rPr>
      </w:pPr>
      <w:r>
        <w:rPr>
          <w:lang w:eastAsia="en-AU" w:bidi="ar-SA"/>
        </w:rPr>
        <w:t>Food) (2016). Scientific Opinion on the safety of potassium polyaspartate (A-5D K/SD) for use as a stabiliser in wine. EFSA Journal 14(3):4435, 25 pp. doi:10.2903/j.efsa.2016.4435</w:t>
      </w:r>
    </w:p>
    <w:p w14:paraId="642289E5" w14:textId="77777777" w:rsidR="00FA4AFA" w:rsidRPr="00D2676D" w:rsidRDefault="00FA4AFA" w:rsidP="00D2676D">
      <w:pPr>
        <w:rPr>
          <w:lang w:eastAsia="en-AU" w:bidi="ar-SA"/>
        </w:rPr>
      </w:pPr>
    </w:p>
    <w:p w14:paraId="5280077B" w14:textId="6423145F" w:rsidR="006032BF" w:rsidRDefault="00AF3C1F" w:rsidP="00D2676D">
      <w:pPr>
        <w:rPr>
          <w:lang w:eastAsia="en-AU" w:bidi="ar-SA"/>
        </w:rPr>
      </w:pPr>
      <w:r>
        <w:rPr>
          <w:lang w:eastAsia="en-AU" w:bidi="ar-SA"/>
        </w:rPr>
        <w:t xml:space="preserve">European Commission (2017). Official Journal of the European Union. </w:t>
      </w:r>
      <w:r w:rsidR="00DF6738">
        <w:rPr>
          <w:lang w:eastAsia="en-AU" w:bidi="ar-SA"/>
        </w:rPr>
        <w:t xml:space="preserve">Commission Delegated Regulation (EU) 2017/1961 of 2 August 2017 amending </w:t>
      </w:r>
      <w:hyperlink r:id="rId19" w:history="1">
        <w:r w:rsidR="00DF6738" w:rsidRPr="00DF6738">
          <w:rPr>
            <w:rStyle w:val="Hyperlink"/>
            <w:lang w:eastAsia="en-AU" w:bidi="ar-SA"/>
          </w:rPr>
          <w:t>Regulation (EC) No 606/2009 as regards certain oenological practices.</w:t>
        </w:r>
      </w:hyperlink>
      <w:r w:rsidR="00DF6738">
        <w:rPr>
          <w:lang w:eastAsia="en-AU" w:bidi="ar-SA"/>
        </w:rPr>
        <w:t xml:space="preserve"> Accessed </w:t>
      </w:r>
      <w:r w:rsidR="00124FBE">
        <w:rPr>
          <w:lang w:eastAsia="en-AU" w:bidi="ar-SA"/>
        </w:rPr>
        <w:t>29 Jun</w:t>
      </w:r>
      <w:r w:rsidR="00280ABA">
        <w:rPr>
          <w:lang w:eastAsia="en-AU" w:bidi="ar-SA"/>
        </w:rPr>
        <w:t xml:space="preserve"> 18.</w:t>
      </w:r>
    </w:p>
    <w:p w14:paraId="28CAE24C" w14:textId="77777777" w:rsidR="006032BF" w:rsidRDefault="006032BF" w:rsidP="00D2676D">
      <w:pPr>
        <w:rPr>
          <w:lang w:eastAsia="en-AU" w:bidi="ar-SA"/>
        </w:rPr>
      </w:pPr>
    </w:p>
    <w:p w14:paraId="2BE72B2A" w14:textId="546E10DB" w:rsidR="000726B7" w:rsidRDefault="006032BF" w:rsidP="00D2676D">
      <w:pPr>
        <w:rPr>
          <w:lang w:eastAsia="en-AU" w:bidi="ar-SA"/>
        </w:rPr>
      </w:pPr>
      <w:bookmarkStart w:id="151" w:name="_CTVL001c86f48bcb3dc4afe9de8e21c35d236ef"/>
      <w:r>
        <w:t xml:space="preserve">FSANZ (2009), </w:t>
      </w:r>
      <w:bookmarkEnd w:id="151"/>
      <w:r w:rsidRPr="0036194A">
        <w:rPr>
          <w:i/>
        </w:rPr>
        <w:t>Principles and practices of dietary exposure assessment for food regulatory purposes</w:t>
      </w:r>
      <w:r w:rsidRPr="0036194A">
        <w:t>, Canberra, Australia.</w:t>
      </w:r>
      <w:r w:rsidR="00280ABA">
        <w:rPr>
          <w:lang w:eastAsia="en-AU" w:bidi="ar-SA"/>
        </w:rPr>
        <w:t xml:space="preserve"> </w:t>
      </w:r>
      <w:r w:rsidR="000726B7">
        <w:rPr>
          <w:lang w:eastAsia="en-AU" w:bidi="ar-SA"/>
        </w:rPr>
        <w:t>Gumaste SA (2014a) Repeated Dose 14 Day Oral Toxicity Study of A-5D K SD in Wistar Rat. INTOX PVT LTD, India. Report No. R/13969/SOR-14-DRF/14.</w:t>
      </w:r>
    </w:p>
    <w:p w14:paraId="07660549" w14:textId="69C1CD8C" w:rsidR="000726B7" w:rsidRDefault="000726B7" w:rsidP="00D2676D">
      <w:pPr>
        <w:rPr>
          <w:lang w:eastAsia="en-AU" w:bidi="ar-SA"/>
        </w:rPr>
      </w:pPr>
    </w:p>
    <w:p w14:paraId="4AF76826" w14:textId="1058FE23" w:rsidR="000726B7" w:rsidRDefault="000726B7" w:rsidP="00D2676D">
      <w:pPr>
        <w:rPr>
          <w:lang w:eastAsia="en-AU" w:bidi="ar-SA"/>
        </w:rPr>
      </w:pPr>
      <w:r>
        <w:rPr>
          <w:lang w:eastAsia="en-AU" w:bidi="ar-SA"/>
        </w:rPr>
        <w:t xml:space="preserve">Gumaste SA (2014b) Repeated Dose 90 Days Oral Toxicity Study of A-5D-K SD in Wistar Rat. INTOX PVT LTD, India. Report No. R/13957/SOR-90/14. </w:t>
      </w:r>
    </w:p>
    <w:p w14:paraId="411A4E85" w14:textId="0D7B6E84" w:rsidR="00643846" w:rsidRDefault="00643846" w:rsidP="00D2676D">
      <w:pPr>
        <w:rPr>
          <w:lang w:eastAsia="en-AU" w:bidi="ar-SA"/>
        </w:rPr>
      </w:pPr>
    </w:p>
    <w:p w14:paraId="7798995B" w14:textId="77777777" w:rsidR="00643846" w:rsidRDefault="00643846" w:rsidP="00643846">
      <w:pPr>
        <w:rPr>
          <w:lang w:eastAsia="en-AU" w:bidi="ar-SA"/>
        </w:rPr>
      </w:pPr>
      <w:r>
        <w:rPr>
          <w:lang w:eastAsia="en-AU" w:bidi="ar-SA"/>
        </w:rPr>
        <w:t xml:space="preserve">Institute of Medicine (2005) Dietary Reference Intakes: energy, carbohydrates, fiber, </w:t>
      </w:r>
    </w:p>
    <w:p w14:paraId="534B6A3C" w14:textId="1AE59725" w:rsidR="00643846" w:rsidRPr="00D2676D" w:rsidRDefault="00643846" w:rsidP="00643846">
      <w:pPr>
        <w:rPr>
          <w:lang w:eastAsia="en-AU" w:bidi="ar-SA"/>
        </w:rPr>
      </w:pPr>
      <w:r>
        <w:rPr>
          <w:lang w:eastAsia="en-AU" w:bidi="ar-SA"/>
        </w:rPr>
        <w:t>fat, fatty acids, cholesterol, protein, and amino acids (macronutrients). National Academies Press, Washington DC. USA.</w:t>
      </w:r>
    </w:p>
    <w:p w14:paraId="76B89EC7" w14:textId="646144A8" w:rsidR="00AA5316" w:rsidRDefault="00AA5316" w:rsidP="00AA5316">
      <w:pPr>
        <w:pStyle w:val="ListParagraph"/>
        <w:ind w:left="900"/>
        <w:rPr>
          <w:lang w:eastAsia="en-AU" w:bidi="ar-SA"/>
        </w:rPr>
      </w:pPr>
    </w:p>
    <w:p w14:paraId="75AF8EBF" w14:textId="24D3C709" w:rsidR="00355179" w:rsidRDefault="00AF3C1F" w:rsidP="00280ABA">
      <w:pPr>
        <w:rPr>
          <w:lang w:eastAsia="en-AU" w:bidi="ar-SA"/>
        </w:rPr>
      </w:pPr>
      <w:r>
        <w:rPr>
          <w:lang w:eastAsia="en-AU" w:bidi="ar-SA"/>
        </w:rPr>
        <w:t>International Organisation of Vine and Wine (OIV) (2017</w:t>
      </w:r>
      <w:r w:rsidR="00355179">
        <w:rPr>
          <w:lang w:eastAsia="en-AU" w:bidi="ar-SA"/>
        </w:rPr>
        <w:t>a</w:t>
      </w:r>
      <w:r>
        <w:rPr>
          <w:lang w:eastAsia="en-AU" w:bidi="ar-SA"/>
        </w:rPr>
        <w:t>).</w:t>
      </w:r>
      <w:r w:rsidR="00266D85">
        <w:rPr>
          <w:lang w:eastAsia="en-AU" w:bidi="ar-SA"/>
        </w:rPr>
        <w:t xml:space="preserve"> International Code of oenological practices.</w:t>
      </w:r>
      <w:r>
        <w:rPr>
          <w:lang w:eastAsia="en-AU" w:bidi="ar-SA"/>
        </w:rPr>
        <w:t xml:space="preserve"> </w:t>
      </w:r>
      <w:hyperlink r:id="rId20" w:history="1">
        <w:r w:rsidR="00266D85" w:rsidRPr="00266D85">
          <w:rPr>
            <w:rStyle w:val="Hyperlink"/>
            <w:lang w:eastAsia="en-AU" w:bidi="ar-SA"/>
          </w:rPr>
          <w:t>Resolution OIV-OENO 572-2017. Monograph on potassium polyaspartate.</w:t>
        </w:r>
      </w:hyperlink>
      <w:r w:rsidR="00266D85">
        <w:rPr>
          <w:lang w:eastAsia="en-AU" w:bidi="ar-SA"/>
        </w:rPr>
        <w:t xml:space="preserve"> </w:t>
      </w:r>
      <w:r w:rsidR="00124FBE">
        <w:rPr>
          <w:lang w:eastAsia="en-AU" w:bidi="ar-SA"/>
        </w:rPr>
        <w:t>Accessed 27 Jun 18.</w:t>
      </w:r>
    </w:p>
    <w:p w14:paraId="5AD07B6B" w14:textId="77777777" w:rsidR="00355179" w:rsidRDefault="00355179" w:rsidP="00280ABA">
      <w:pPr>
        <w:rPr>
          <w:lang w:eastAsia="en-AU" w:bidi="ar-SA"/>
        </w:rPr>
      </w:pPr>
    </w:p>
    <w:p w14:paraId="0293DF11" w14:textId="6CA8566E" w:rsidR="00AA5316" w:rsidRDefault="00355179" w:rsidP="00280ABA">
      <w:pPr>
        <w:rPr>
          <w:lang w:eastAsia="en-AU" w:bidi="ar-SA"/>
        </w:rPr>
      </w:pPr>
      <w:r>
        <w:rPr>
          <w:lang w:eastAsia="en-AU" w:bidi="ar-SA"/>
        </w:rPr>
        <w:t>International Organisation of Vine and Wine (OIV) (2017b).</w:t>
      </w:r>
      <w:r w:rsidR="00266D85">
        <w:rPr>
          <w:lang w:eastAsia="en-AU" w:bidi="ar-SA"/>
        </w:rPr>
        <w:t>International Code of oenological practices.</w:t>
      </w:r>
      <w:r>
        <w:rPr>
          <w:lang w:eastAsia="en-AU" w:bidi="ar-SA"/>
        </w:rPr>
        <w:t xml:space="preserve"> </w:t>
      </w:r>
      <w:hyperlink r:id="rId21" w:history="1">
        <w:r w:rsidR="00266D85">
          <w:rPr>
            <w:rStyle w:val="Hyperlink"/>
            <w:lang w:eastAsia="en-AU" w:bidi="ar-SA"/>
          </w:rPr>
          <w:t>Resolution OIV-OENO 543-2016.  Treatment with potassium polyaspartate in wine.</w:t>
        </w:r>
      </w:hyperlink>
      <w:r>
        <w:rPr>
          <w:lang w:eastAsia="en-AU" w:bidi="ar-SA"/>
        </w:rPr>
        <w:t xml:space="preserve"> </w:t>
      </w:r>
      <w:r w:rsidR="002E2E67">
        <w:rPr>
          <w:lang w:eastAsia="en-AU" w:bidi="ar-SA"/>
        </w:rPr>
        <w:t>Accessed 27 Jun 18.</w:t>
      </w:r>
    </w:p>
    <w:p w14:paraId="67806143" w14:textId="1D5D92A8" w:rsidR="00097F15" w:rsidRDefault="00097F15" w:rsidP="00280ABA">
      <w:pPr>
        <w:rPr>
          <w:lang w:eastAsia="en-AU" w:bidi="ar-SA"/>
        </w:rPr>
      </w:pPr>
    </w:p>
    <w:p w14:paraId="29CFEDA8" w14:textId="78F9F7A3" w:rsidR="00097F15" w:rsidRDefault="00097F15" w:rsidP="00280ABA">
      <w:pPr>
        <w:rPr>
          <w:lang w:eastAsia="en-AU" w:bidi="ar-SA"/>
        </w:rPr>
      </w:pPr>
      <w:r>
        <w:rPr>
          <w:lang w:eastAsia="en-AU" w:bidi="ar-SA"/>
        </w:rPr>
        <w:t xml:space="preserve">LANXESS (2007) Food contact notification: Polyaspartic acid, sodium salt. </w:t>
      </w:r>
      <w:r w:rsidR="00346657">
        <w:rPr>
          <w:lang w:eastAsia="en-AU" w:bidi="ar-SA"/>
        </w:rPr>
        <w:t xml:space="preserve">US FDA </w:t>
      </w:r>
      <w:hyperlink r:id="rId22" w:history="1">
        <w:r w:rsidR="00346657" w:rsidRPr="00346657">
          <w:rPr>
            <w:rStyle w:val="Hyperlink"/>
            <w:lang w:eastAsia="en-AU" w:bidi="ar-SA"/>
          </w:rPr>
          <w:t>Inventory of Effective Food Contact Substance (FCF) Notifications</w:t>
        </w:r>
      </w:hyperlink>
      <w:r w:rsidR="00346657">
        <w:rPr>
          <w:lang w:eastAsia="en-AU" w:bidi="ar-SA"/>
        </w:rPr>
        <w:t>. FCN no. 707. Accessed 26 Jul 2018</w:t>
      </w:r>
    </w:p>
    <w:p w14:paraId="4F5F2168" w14:textId="7ED9806A" w:rsidR="002C4CE9" w:rsidRDefault="002C4CE9" w:rsidP="00280ABA">
      <w:pPr>
        <w:rPr>
          <w:lang w:eastAsia="en-AU" w:bidi="ar-SA"/>
        </w:rPr>
      </w:pPr>
    </w:p>
    <w:p w14:paraId="1E87A751" w14:textId="77777777" w:rsidR="00304965" w:rsidRDefault="00304965" w:rsidP="00280ABA">
      <w:pPr>
        <w:rPr>
          <w:lang w:eastAsia="en-AU" w:bidi="ar-SA"/>
        </w:rPr>
      </w:pPr>
    </w:p>
    <w:p w14:paraId="79206601" w14:textId="22EDF974" w:rsidR="002C4CE9" w:rsidRDefault="002C4CE9" w:rsidP="00280ABA">
      <w:pPr>
        <w:rPr>
          <w:lang w:eastAsia="en-AU" w:bidi="ar-SA"/>
        </w:rPr>
      </w:pPr>
      <w:r>
        <w:rPr>
          <w:lang w:eastAsia="en-AU" w:bidi="ar-SA"/>
        </w:rPr>
        <w:t xml:space="preserve">Mane JP (2014a) </w:t>
      </w:r>
      <w:r w:rsidRPr="002C4CE9">
        <w:rPr>
          <w:i/>
          <w:lang w:eastAsia="en-AU" w:bidi="ar-SA"/>
        </w:rPr>
        <w:t>Salmonella typhimurium</w:t>
      </w:r>
      <w:r>
        <w:rPr>
          <w:lang w:eastAsia="en-AU" w:bidi="ar-SA"/>
        </w:rPr>
        <w:t>, Reverse Mutation Assay of A-5D K SD (Ames Test) INTOX PVT LTD, India. Report No. R/13955/AMES/14.</w:t>
      </w:r>
    </w:p>
    <w:p w14:paraId="6C62AB8B" w14:textId="0DF57962" w:rsidR="002C4CE9" w:rsidRDefault="002C4CE9" w:rsidP="00280ABA">
      <w:pPr>
        <w:rPr>
          <w:lang w:eastAsia="en-AU" w:bidi="ar-SA"/>
        </w:rPr>
      </w:pPr>
    </w:p>
    <w:p w14:paraId="1D3E6E7C" w14:textId="2386B1FE" w:rsidR="002C4CE9" w:rsidRDefault="002C4CE9" w:rsidP="00280ABA">
      <w:pPr>
        <w:rPr>
          <w:lang w:eastAsia="en-AU" w:bidi="ar-SA"/>
        </w:rPr>
      </w:pPr>
      <w:r>
        <w:rPr>
          <w:lang w:eastAsia="en-AU" w:bidi="ar-SA"/>
        </w:rPr>
        <w:t xml:space="preserve">Mane JP (2014b) </w:t>
      </w:r>
      <w:r w:rsidRPr="002C4CE9">
        <w:rPr>
          <w:i/>
          <w:lang w:eastAsia="en-AU" w:bidi="ar-SA"/>
        </w:rPr>
        <w:t>In vitro</w:t>
      </w:r>
      <w:r>
        <w:rPr>
          <w:lang w:eastAsia="en-AU" w:bidi="ar-SA"/>
        </w:rPr>
        <w:t xml:space="preserve"> Micronucleus Test of A-5D K SD in Cultured Human Lymphocytes. INTOX PVT LTD, India. Report No. R/13956/</w:t>
      </w:r>
      <w:r w:rsidRPr="002C4CE9">
        <w:rPr>
          <w:i/>
          <w:lang w:eastAsia="en-AU" w:bidi="ar-SA"/>
        </w:rPr>
        <w:t>In vitro</w:t>
      </w:r>
      <w:r>
        <w:rPr>
          <w:lang w:eastAsia="en-AU" w:bidi="ar-SA"/>
        </w:rPr>
        <w:t xml:space="preserve"> MNT/14</w:t>
      </w:r>
      <w:r w:rsidR="007810F5">
        <w:rPr>
          <w:lang w:eastAsia="en-AU" w:bidi="ar-SA"/>
        </w:rPr>
        <w:t>.</w:t>
      </w:r>
    </w:p>
    <w:p w14:paraId="418ABE10" w14:textId="20F51129" w:rsidR="0087004A" w:rsidRDefault="0087004A" w:rsidP="00280ABA">
      <w:pPr>
        <w:rPr>
          <w:lang w:eastAsia="en-AU" w:bidi="ar-SA"/>
        </w:rPr>
      </w:pPr>
    </w:p>
    <w:p w14:paraId="74A028A9" w14:textId="5B73ED79" w:rsidR="0087004A" w:rsidRDefault="0087004A" w:rsidP="0087004A">
      <w:pPr>
        <w:rPr>
          <w:lang w:eastAsia="en-AU" w:bidi="ar-SA"/>
        </w:rPr>
      </w:pPr>
      <w:r>
        <w:rPr>
          <w:lang w:eastAsia="en-AU" w:bidi="ar-SA"/>
        </w:rPr>
        <w:t>NICNAS (2001) National Industrial Chemicals Notification and Assessment Scheme. Full Public Report. 2-Butenedioic acid (2Z)-, ammonium salt, homopolymer, hydrolysed, sodium salts (Polyaspartic acid, sodium salts). File No. NA/932.</w:t>
      </w:r>
    </w:p>
    <w:p w14:paraId="096A1DF1" w14:textId="5F7EB50D" w:rsidR="00E74D16" w:rsidRDefault="00E74D16" w:rsidP="0087004A">
      <w:pPr>
        <w:rPr>
          <w:lang w:eastAsia="en-AU" w:bidi="ar-SA"/>
        </w:rPr>
      </w:pPr>
    </w:p>
    <w:p w14:paraId="1AF4ABC3" w14:textId="329C60AD" w:rsidR="00E74D16" w:rsidRDefault="00E74D16" w:rsidP="0087004A">
      <w:pPr>
        <w:rPr>
          <w:lang w:eastAsia="en-AU" w:bidi="ar-SA"/>
        </w:rPr>
      </w:pPr>
      <w:r>
        <w:rPr>
          <w:lang w:eastAsia="en-AU" w:bidi="ar-SA"/>
        </w:rPr>
        <w:t>Restani P (2015) EU Project STABIWINE. Final report by Universit</w:t>
      </w:r>
      <w:r>
        <w:rPr>
          <w:rFonts w:cs="Arial"/>
          <w:lang w:eastAsia="en-AU" w:bidi="ar-SA"/>
        </w:rPr>
        <w:t>à</w:t>
      </w:r>
      <w:r>
        <w:rPr>
          <w:lang w:eastAsia="en-AU" w:bidi="ar-SA"/>
        </w:rPr>
        <w:t xml:space="preserve"> degli Suti di Milano Dipartimento di Scienze Farmacologiche e Biomoleculari – DiSFeB. University of Milan.</w:t>
      </w:r>
    </w:p>
    <w:p w14:paraId="49144BD1" w14:textId="1515D3FB" w:rsidR="00B77FB7" w:rsidRDefault="00B77FB7" w:rsidP="0087004A">
      <w:pPr>
        <w:rPr>
          <w:lang w:eastAsia="en-AU" w:bidi="ar-SA"/>
        </w:rPr>
      </w:pPr>
    </w:p>
    <w:p w14:paraId="0BB69C66" w14:textId="36386A99" w:rsidR="007E314E" w:rsidRDefault="00B77FB7" w:rsidP="0087004A">
      <w:pPr>
        <w:rPr>
          <w:lang w:eastAsia="en-AU" w:bidi="ar-SA"/>
        </w:rPr>
      </w:pPr>
      <w:r>
        <w:rPr>
          <w:lang w:eastAsia="en-AU" w:bidi="ar-SA"/>
        </w:rPr>
        <w:t>WHO (2006) Safety evaluation of certain food additives. WHO Food Additive Series: 54. World Health Organization, Geneva.</w:t>
      </w:r>
    </w:p>
    <w:p w14:paraId="5519E5CC" w14:textId="7BAA85C0" w:rsidR="007E314E" w:rsidRPr="00633236" w:rsidRDefault="007E314E" w:rsidP="00127002">
      <w:pPr>
        <w:pStyle w:val="Heading1"/>
      </w:pPr>
      <w:r>
        <w:rPr>
          <w:lang w:eastAsia="en-AU"/>
        </w:rPr>
        <w:br w:type="column"/>
      </w:r>
      <w:bookmarkStart w:id="152" w:name="_Ref514934222"/>
      <w:bookmarkStart w:id="153" w:name="_Toc515612908"/>
      <w:bookmarkStart w:id="154" w:name="_Toc521330361"/>
      <w:bookmarkStart w:id="155" w:name="_Toc522276794"/>
      <w:bookmarkStart w:id="156" w:name="_Toc522780519"/>
      <w:bookmarkStart w:id="157" w:name="_Toc524342560"/>
      <w:r>
        <w:t xml:space="preserve">Appendix </w:t>
      </w:r>
      <w:bookmarkStart w:id="158" w:name="_Ref484600533"/>
      <w:bookmarkEnd w:id="152"/>
      <w:r w:rsidR="00AB34DB">
        <w:t xml:space="preserve">1 </w:t>
      </w:r>
      <w:r w:rsidRPr="00633236">
        <w:t xml:space="preserve">Dietary </w:t>
      </w:r>
      <w:r w:rsidR="005916AF">
        <w:t>exposure</w:t>
      </w:r>
      <w:r w:rsidR="005916AF" w:rsidRPr="00633236">
        <w:t xml:space="preserve"> </w:t>
      </w:r>
      <w:r w:rsidR="005916AF">
        <w:t>a</w:t>
      </w:r>
      <w:r w:rsidRPr="00633236">
        <w:t>ssessments at FSANZ</w:t>
      </w:r>
      <w:bookmarkEnd w:id="153"/>
      <w:bookmarkEnd w:id="154"/>
      <w:bookmarkEnd w:id="155"/>
      <w:bookmarkEnd w:id="156"/>
      <w:bookmarkEnd w:id="158"/>
      <w:bookmarkEnd w:id="157"/>
    </w:p>
    <w:p w14:paraId="5D91A03E" w14:textId="46AA4963" w:rsidR="007E314E" w:rsidRDefault="007E314E" w:rsidP="007E314E">
      <w:pPr>
        <w:rPr>
          <w:lang w:eastAsia="en-GB"/>
        </w:rPr>
      </w:pPr>
      <w:bookmarkStart w:id="159" w:name="_Toc247509506"/>
      <w:bookmarkStart w:id="160" w:name="_Toc256582727"/>
      <w:bookmarkStart w:id="161" w:name="_Toc360028640"/>
      <w:bookmarkStart w:id="162" w:name="_Toc415041943"/>
      <w:r w:rsidRPr="002D3F0A">
        <w:rPr>
          <w:lang w:eastAsia="en-GB"/>
        </w:rPr>
        <w:t xml:space="preserve">A dietary </w:t>
      </w:r>
      <w:r w:rsidR="00B25A19">
        <w:rPr>
          <w:lang w:eastAsia="en-GB"/>
        </w:rPr>
        <w:t xml:space="preserve">exposure </w:t>
      </w:r>
      <w:r w:rsidRPr="002D3F0A">
        <w:rPr>
          <w:lang w:eastAsia="en-GB"/>
        </w:rPr>
        <w:t xml:space="preserve">assessment is the process of estimating how much of a food chemical a population, or population sub group, consumes. Dietary </w:t>
      </w:r>
      <w:r w:rsidR="00B25A19">
        <w:rPr>
          <w:lang w:eastAsia="en-GB"/>
        </w:rPr>
        <w:t>exposure</w:t>
      </w:r>
      <w:r>
        <w:rPr>
          <w:lang w:eastAsia="en-GB"/>
        </w:rPr>
        <w:t xml:space="preserve"> </w:t>
      </w:r>
      <w:r w:rsidR="00B25A19">
        <w:rPr>
          <w:lang w:eastAsia="en-GB"/>
        </w:rPr>
        <w:t>to</w:t>
      </w:r>
      <w:r>
        <w:rPr>
          <w:lang w:eastAsia="en-GB"/>
        </w:rPr>
        <w:t xml:space="preserve"> </w:t>
      </w:r>
      <w:r w:rsidRPr="002D3F0A">
        <w:rPr>
          <w:lang w:eastAsia="en-GB"/>
        </w:rPr>
        <w:t>food chemicals is estimated by combining food consumption data with food chemical concentration data. T</w:t>
      </w:r>
      <w:r>
        <w:rPr>
          <w:lang w:eastAsia="en-GB"/>
        </w:rPr>
        <w:t>he process of doing</w:t>
      </w:r>
      <w:r w:rsidRPr="002D3F0A">
        <w:rPr>
          <w:lang w:eastAsia="en-GB"/>
        </w:rPr>
        <w:t xml:space="preserve"> this is called ‘dietary modelling’.</w:t>
      </w:r>
    </w:p>
    <w:p w14:paraId="36BD6242" w14:textId="77777777" w:rsidR="007E314E" w:rsidRDefault="007E314E" w:rsidP="007E314E">
      <w:pPr>
        <w:rPr>
          <w:i/>
          <w:lang w:eastAsia="en-GB"/>
        </w:rPr>
      </w:pPr>
    </w:p>
    <w:p w14:paraId="1A6F61DC" w14:textId="262269D5" w:rsidR="007E314E" w:rsidRPr="002D3F0A" w:rsidRDefault="007E314E" w:rsidP="007E314E">
      <w:pPr>
        <w:rPr>
          <w:i/>
          <w:lang w:eastAsia="en-GB"/>
        </w:rPr>
      </w:pPr>
      <w:r w:rsidRPr="002D3F0A">
        <w:rPr>
          <w:i/>
          <w:lang w:eastAsia="en-GB"/>
        </w:rPr>
        <w:t xml:space="preserve">Dietary </w:t>
      </w:r>
      <w:r w:rsidR="00B25A19">
        <w:rPr>
          <w:i/>
          <w:lang w:eastAsia="en-GB"/>
        </w:rPr>
        <w:t>exposure</w:t>
      </w:r>
      <w:r w:rsidRPr="002D3F0A">
        <w:rPr>
          <w:i/>
          <w:lang w:eastAsia="en-GB"/>
        </w:rPr>
        <w:t xml:space="preserve"> = food chemical concentration x food consumption</w:t>
      </w:r>
    </w:p>
    <w:p w14:paraId="3E09ED45" w14:textId="77777777" w:rsidR="007E314E" w:rsidRPr="00633236" w:rsidRDefault="007E314E" w:rsidP="007E314E">
      <w:pPr>
        <w:rPr>
          <w:rFonts w:ascii="Cambria Math" w:hAnsi="Cambria Math" w:cstheme="minorHAnsi"/>
          <w:sz w:val="24"/>
          <w:lang w:eastAsia="en-GB"/>
          <w:oMath/>
        </w:rPr>
      </w:pPr>
    </w:p>
    <w:p w14:paraId="1DE03A53" w14:textId="7DC542C4" w:rsidR="007E314E" w:rsidRPr="002D3F0A" w:rsidRDefault="007E314E" w:rsidP="007E314E">
      <w:pPr>
        <w:rPr>
          <w:lang w:eastAsia="en-GB"/>
        </w:rPr>
      </w:pPr>
      <w:r w:rsidRPr="002D3F0A">
        <w:rPr>
          <w:lang w:eastAsia="en-GB"/>
        </w:rPr>
        <w:t xml:space="preserve">FSANZ’s approach to dietary modelling is based on internationally accepted procedures for estimating dietary </w:t>
      </w:r>
      <w:r w:rsidR="002E0CB2">
        <w:rPr>
          <w:lang w:eastAsia="en-GB"/>
        </w:rPr>
        <w:t>exposure to</w:t>
      </w:r>
      <w:r w:rsidRPr="002D3F0A">
        <w:rPr>
          <w:lang w:eastAsia="en-GB"/>
        </w:rPr>
        <w:t xml:space="preserve"> food chemicals. Different dietary modelling approaches may be used depending on the assessment, the type of food chemical, the data available and the risk assessment questions to be answered. In the majority of assessments</w:t>
      </w:r>
      <w:r>
        <w:rPr>
          <w:lang w:eastAsia="en-GB"/>
        </w:rPr>
        <w:t>,</w:t>
      </w:r>
      <w:r w:rsidRPr="002D3F0A">
        <w:rPr>
          <w:lang w:eastAsia="en-GB"/>
        </w:rPr>
        <w:t xml:space="preserve"> FSANZ uses the food consumption data from each person in the national nutrition surveys to estimate their individual dietary </w:t>
      </w:r>
      <w:r w:rsidR="002E0CB2">
        <w:rPr>
          <w:lang w:eastAsia="en-GB"/>
        </w:rPr>
        <w:t>exposure</w:t>
      </w:r>
      <w:r w:rsidRPr="002D3F0A">
        <w:rPr>
          <w:lang w:eastAsia="en-GB"/>
        </w:rPr>
        <w:t xml:space="preserve">. Population summary statistics such as the mean </w:t>
      </w:r>
      <w:r w:rsidR="002E0CB2">
        <w:rPr>
          <w:lang w:eastAsia="en-GB"/>
        </w:rPr>
        <w:t>exposure</w:t>
      </w:r>
      <w:r>
        <w:rPr>
          <w:lang w:eastAsia="en-GB"/>
        </w:rPr>
        <w:t xml:space="preserve"> </w:t>
      </w:r>
      <w:r w:rsidRPr="002D3F0A">
        <w:rPr>
          <w:lang w:eastAsia="en-GB"/>
        </w:rPr>
        <w:t xml:space="preserve">or a high percentile </w:t>
      </w:r>
      <w:r w:rsidR="002E0CB2">
        <w:rPr>
          <w:lang w:eastAsia="en-GB"/>
        </w:rPr>
        <w:t>exposure</w:t>
      </w:r>
      <w:r w:rsidRPr="002D3F0A">
        <w:rPr>
          <w:lang w:eastAsia="en-GB"/>
        </w:rPr>
        <w:t xml:space="preserve"> are derived from the ranked individual person’s </w:t>
      </w:r>
      <w:r w:rsidR="002E0CB2">
        <w:rPr>
          <w:lang w:eastAsia="en-GB"/>
        </w:rPr>
        <w:t>exposures</w:t>
      </w:r>
      <w:r w:rsidRPr="002D3F0A">
        <w:rPr>
          <w:lang w:eastAsia="en-GB"/>
        </w:rPr>
        <w:t xml:space="preserve"> from the nutrition survey.</w:t>
      </w:r>
    </w:p>
    <w:p w14:paraId="3E2A35DA" w14:textId="77777777" w:rsidR="007E314E" w:rsidRPr="002D3F0A" w:rsidRDefault="007E314E" w:rsidP="007E314E"/>
    <w:p w14:paraId="7460D2C5" w14:textId="3D0F441A" w:rsidR="007E314E" w:rsidRPr="002D3F0A" w:rsidRDefault="007E314E" w:rsidP="007E314E">
      <w:r w:rsidRPr="002D3F0A">
        <w:t xml:space="preserve">An overview of how dietary </w:t>
      </w:r>
      <w:r w:rsidR="002E0CB2">
        <w:t>exposure</w:t>
      </w:r>
      <w:r w:rsidRPr="002D3F0A">
        <w:t xml:space="preserve"> assessments are conducted and their place in the FSANZ Risk Analysis Process is provided on the FSANZ website at:</w:t>
      </w:r>
    </w:p>
    <w:p w14:paraId="4182C2F5" w14:textId="77777777" w:rsidR="007E314E" w:rsidRDefault="003E4572" w:rsidP="007E314E">
      <w:hyperlink r:id="rId23" w:history="1">
        <w:r w:rsidR="007E314E" w:rsidRPr="00F93248">
          <w:rPr>
            <w:rStyle w:val="Hyperlink"/>
          </w:rPr>
          <w:t>http://www.foodstandards.gov.au/science/riskanalysis/Pages/default.aspx</w:t>
        </w:r>
      </w:hyperlink>
      <w:r w:rsidR="007E314E">
        <w:t xml:space="preserve"> </w:t>
      </w:r>
    </w:p>
    <w:p w14:paraId="507E005A" w14:textId="77777777" w:rsidR="007E314E" w:rsidRPr="002D3F0A" w:rsidRDefault="007E314E" w:rsidP="007E314E"/>
    <w:p w14:paraId="0CE06440" w14:textId="78910035" w:rsidR="007E314E" w:rsidRDefault="007E314E" w:rsidP="007E314E">
      <w:pPr>
        <w:rPr>
          <w:lang w:eastAsia="en-GB"/>
        </w:rPr>
      </w:pPr>
      <w:r w:rsidRPr="007157CF">
        <w:rPr>
          <w:lang w:eastAsia="en-GB"/>
        </w:rPr>
        <w:t xml:space="preserve">FSANZ has developed a custom-built computer program ‘Harvest’ to calculate dietary </w:t>
      </w:r>
      <w:r w:rsidR="00B25A19">
        <w:rPr>
          <w:lang w:eastAsia="en-GB"/>
        </w:rPr>
        <w:t>exposure</w:t>
      </w:r>
      <w:r w:rsidRPr="007157CF">
        <w:rPr>
          <w:lang w:eastAsia="en-GB"/>
        </w:rPr>
        <w:t xml:space="preserve">s. Harvest replaces the program ‘DIAMOND’ that </w:t>
      </w:r>
      <w:r w:rsidR="002E0CB2">
        <w:rPr>
          <w:lang w:eastAsia="en-GB"/>
        </w:rPr>
        <w:t>had</w:t>
      </w:r>
      <w:r w:rsidRPr="007157CF">
        <w:rPr>
          <w:lang w:eastAsia="en-GB"/>
        </w:rPr>
        <w:t xml:space="preserve"> been used by FSANZ for many years.</w:t>
      </w:r>
      <w:r>
        <w:rPr>
          <w:lang w:eastAsia="en-GB"/>
        </w:rPr>
        <w:t xml:space="preserve"> Harvest has been designed to replicate the calculations that occurred within DIAMOND using a different software package.</w:t>
      </w:r>
    </w:p>
    <w:p w14:paraId="17729FC7" w14:textId="77777777" w:rsidR="007E314E" w:rsidRPr="007157CF" w:rsidRDefault="007E314E" w:rsidP="007E314E"/>
    <w:p w14:paraId="2368556F" w14:textId="67DAE501" w:rsidR="007E314E" w:rsidRPr="007157CF" w:rsidRDefault="007E314E" w:rsidP="007E314E">
      <w:r w:rsidRPr="007157CF">
        <w:t xml:space="preserve">Further detailed information on conducting dietary </w:t>
      </w:r>
      <w:r w:rsidR="00B25A19">
        <w:t>exposure</w:t>
      </w:r>
      <w:r w:rsidRPr="007157CF">
        <w:t xml:space="preserve"> assessments at FSANZ is provided in </w:t>
      </w:r>
      <w:r w:rsidRPr="007157CF">
        <w:rPr>
          <w:i/>
        </w:rPr>
        <w:t xml:space="preserve">Principles and Practices of Dietary Exposure Assessment for Food Regulatory Purposes </w:t>
      </w:r>
      <w:r w:rsidRPr="007157CF">
        <w:t xml:space="preserve">(FSANZ 2009), available at: </w:t>
      </w:r>
      <w:hyperlink r:id="rId24" w:history="1">
        <w:r w:rsidRPr="007157CF">
          <w:rPr>
            <w:rStyle w:val="Hyperlink"/>
          </w:rPr>
          <w:t>http://www.foodstandards.gov.au/science/exposure/documents/Principles%20_%20practices%20exposure%20assessment%202009.pdf</w:t>
        </w:r>
      </w:hyperlink>
      <w:r w:rsidRPr="007157CF">
        <w:t xml:space="preserve"> </w:t>
      </w:r>
    </w:p>
    <w:p w14:paraId="74A24961" w14:textId="77777777" w:rsidR="007E314E" w:rsidRPr="00633236" w:rsidRDefault="007E314E" w:rsidP="007E314E">
      <w:pPr>
        <w:rPr>
          <w:lang w:eastAsia="en-GB"/>
        </w:rPr>
      </w:pPr>
    </w:p>
    <w:p w14:paraId="10E60813" w14:textId="2081F130" w:rsidR="007E314E" w:rsidRDefault="008A283C" w:rsidP="009449B9">
      <w:pPr>
        <w:pStyle w:val="Heading2"/>
      </w:pPr>
      <w:bookmarkStart w:id="163" w:name="_Toc256582725"/>
      <w:bookmarkStart w:id="164" w:name="_Toc360028638"/>
      <w:bookmarkStart w:id="165" w:name="_Toc434566818"/>
      <w:bookmarkStart w:id="166" w:name="_Toc483902166"/>
      <w:bookmarkStart w:id="167" w:name="_Toc484004350"/>
      <w:bookmarkStart w:id="168" w:name="_Toc487190332"/>
      <w:bookmarkStart w:id="169" w:name="_Toc491169345"/>
      <w:bookmarkStart w:id="170" w:name="_Toc515612909"/>
      <w:bookmarkStart w:id="171" w:name="_Toc521330362"/>
      <w:bookmarkStart w:id="172" w:name="_Toc522276795"/>
      <w:bookmarkStart w:id="173" w:name="_Toc522780520"/>
      <w:bookmarkStart w:id="174" w:name="_Toc524342561"/>
      <w:r>
        <w:t xml:space="preserve">1.1 </w:t>
      </w:r>
      <w:r w:rsidR="007E314E" w:rsidRPr="00633236">
        <w:t>Food consumption data used</w:t>
      </w:r>
      <w:bookmarkEnd w:id="163"/>
      <w:bookmarkEnd w:id="164"/>
      <w:bookmarkEnd w:id="165"/>
      <w:bookmarkEnd w:id="166"/>
      <w:bookmarkEnd w:id="167"/>
      <w:bookmarkEnd w:id="168"/>
      <w:bookmarkEnd w:id="169"/>
      <w:bookmarkEnd w:id="170"/>
      <w:bookmarkEnd w:id="171"/>
      <w:bookmarkEnd w:id="172"/>
      <w:bookmarkEnd w:id="173"/>
      <w:bookmarkEnd w:id="174"/>
    </w:p>
    <w:p w14:paraId="63D081DD" w14:textId="7561DD9C" w:rsidR="007E314E" w:rsidRPr="00A408DF" w:rsidRDefault="007E314E" w:rsidP="007E314E">
      <w:r w:rsidRPr="007157CF">
        <w:t xml:space="preserve">The most recent food consumption data available were used to estimate </w:t>
      </w:r>
      <w:r w:rsidR="002E0CB2">
        <w:t>exposures to potassium polyaspartate</w:t>
      </w:r>
      <w:r w:rsidRPr="007157CF">
        <w:t xml:space="preserve"> for the Australian and New Zealand populations. The national nutrition survey </w:t>
      </w:r>
      <w:r w:rsidRPr="00A408DF">
        <w:t>(NNS) data used for these assessments were:</w:t>
      </w:r>
    </w:p>
    <w:p w14:paraId="5112E7A1" w14:textId="77777777" w:rsidR="007E314E" w:rsidRPr="00A408DF" w:rsidRDefault="007E314E" w:rsidP="007E314E">
      <w:pPr>
        <w:pStyle w:val="FSBullet"/>
        <w:numPr>
          <w:ilvl w:val="0"/>
          <w:numId w:val="9"/>
        </w:numPr>
        <w:ind w:left="567" w:hanging="567"/>
      </w:pPr>
      <w:r w:rsidRPr="00A408DF">
        <w:t>The 2011-12 Australian National Nutrition and Physical Activity Survey (2011-12 NNPAS)</w:t>
      </w:r>
    </w:p>
    <w:p w14:paraId="5D4CFE5A" w14:textId="77777777" w:rsidR="007E314E" w:rsidRPr="00A408DF" w:rsidRDefault="007E314E" w:rsidP="007E314E">
      <w:pPr>
        <w:pStyle w:val="FSBullet"/>
        <w:numPr>
          <w:ilvl w:val="0"/>
          <w:numId w:val="9"/>
        </w:numPr>
        <w:ind w:left="567" w:hanging="567"/>
      </w:pPr>
      <w:r w:rsidRPr="00A408DF">
        <w:t>The 2002 New Zealand National Children’s Nutrition Survey (2002 NZ</w:t>
      </w:r>
      <w:r>
        <w:t xml:space="preserve"> C</w:t>
      </w:r>
      <w:r w:rsidRPr="00A408DF">
        <w:t>NS)</w:t>
      </w:r>
    </w:p>
    <w:p w14:paraId="6DC6ADFD" w14:textId="77777777" w:rsidR="007E314E" w:rsidRPr="00A408DF" w:rsidRDefault="007E314E" w:rsidP="007E314E">
      <w:pPr>
        <w:pStyle w:val="FSBullet"/>
        <w:numPr>
          <w:ilvl w:val="0"/>
          <w:numId w:val="9"/>
        </w:numPr>
        <w:ind w:left="567" w:hanging="567"/>
      </w:pPr>
      <w:r w:rsidRPr="00A408DF">
        <w:t>The 2008</w:t>
      </w:r>
      <w:r>
        <w:t>-</w:t>
      </w:r>
      <w:r w:rsidRPr="00A408DF">
        <w:t>09 New Zealand Adult Nutrition Survey (2008 NZ</w:t>
      </w:r>
      <w:r>
        <w:t xml:space="preserve"> </w:t>
      </w:r>
      <w:r w:rsidRPr="00A408DF">
        <w:t>ANS).</w:t>
      </w:r>
    </w:p>
    <w:p w14:paraId="7A0DC74E" w14:textId="77777777" w:rsidR="007E314E" w:rsidRPr="00A408DF" w:rsidRDefault="007E314E" w:rsidP="007E314E"/>
    <w:p w14:paraId="35303115" w14:textId="630D0349" w:rsidR="00127002" w:rsidRPr="00290D75" w:rsidRDefault="007E314E" w:rsidP="00290D75">
      <w:pPr>
        <w:rPr>
          <w:color w:val="0000FF"/>
          <w:sz w:val="18"/>
          <w:szCs w:val="18"/>
          <w:lang w:val="en-AU" w:eastAsia="en-AU"/>
        </w:rPr>
      </w:pPr>
      <w:r w:rsidRPr="00A408DF">
        <w:t xml:space="preserve">The design of each of these surveys varies somewhat and key attributes of each are set out below. </w:t>
      </w:r>
      <w:r w:rsidRPr="00A408DF">
        <w:rPr>
          <w:lang w:val="en-AU" w:eastAsia="en-AU"/>
        </w:rPr>
        <w:t xml:space="preserve">Further information on the National Nutrition Surveys used to conduct dietary </w:t>
      </w:r>
      <w:r w:rsidR="00B25A19">
        <w:rPr>
          <w:lang w:val="en-AU" w:eastAsia="en-AU"/>
        </w:rPr>
        <w:t>exposure</w:t>
      </w:r>
      <w:r w:rsidRPr="00A408DF">
        <w:rPr>
          <w:lang w:val="en-AU" w:eastAsia="en-AU"/>
        </w:rPr>
        <w:t xml:space="preserve"> assessments is available on the FSANZ website at: </w:t>
      </w:r>
      <w:hyperlink r:id="rId25" w:history="1">
        <w:r w:rsidRPr="00A408DF">
          <w:rPr>
            <w:rStyle w:val="Hyperlink"/>
            <w:lang w:val="en-AU" w:eastAsia="en-AU"/>
          </w:rPr>
          <w:t>http://www.foodstandards.gov.au/science/exposure/Pages/dietaryexposureandin4438.aspx</w:t>
        </w:r>
      </w:hyperlink>
      <w:r w:rsidRPr="00A408DF">
        <w:rPr>
          <w:lang w:val="en-AU" w:eastAsia="en-AU"/>
        </w:rPr>
        <w:t xml:space="preserve"> </w:t>
      </w:r>
      <w:bookmarkStart w:id="175" w:name="_Toc434566819"/>
      <w:bookmarkStart w:id="176" w:name="_Toc483902167"/>
      <w:bookmarkStart w:id="177" w:name="_Toc484004351"/>
      <w:bookmarkStart w:id="178" w:name="_Toc487190333"/>
      <w:bookmarkStart w:id="179" w:name="_Toc491169346"/>
      <w:bookmarkStart w:id="180" w:name="_Toc521330363"/>
      <w:bookmarkStart w:id="181" w:name="_Toc522276796"/>
    </w:p>
    <w:p w14:paraId="1A68BE32" w14:textId="77777777" w:rsidR="00290D75" w:rsidRDefault="00290D75">
      <w:pPr>
        <w:widowControl/>
        <w:rPr>
          <w:b/>
          <w:bCs/>
          <w:color w:val="000000" w:themeColor="text1"/>
          <w:lang w:eastAsia="en-AU" w:bidi="ar-SA"/>
        </w:rPr>
      </w:pPr>
      <w:r>
        <w:br w:type="page"/>
      </w:r>
    </w:p>
    <w:p w14:paraId="4CC2885B" w14:textId="59CCA1D1" w:rsidR="007E314E" w:rsidRPr="00633236" w:rsidRDefault="008A283C" w:rsidP="00EE2B1F">
      <w:pPr>
        <w:pStyle w:val="Heading3"/>
        <w:ind w:left="0" w:firstLine="0"/>
      </w:pPr>
      <w:bookmarkStart w:id="182" w:name="_Toc522780521"/>
      <w:bookmarkStart w:id="183" w:name="_Toc524342562"/>
      <w:r>
        <w:t xml:space="preserve">1.1.1 </w:t>
      </w:r>
      <w:r w:rsidR="007E314E" w:rsidRPr="00633236">
        <w:t>2011–12 Australian National Nutrition and</w:t>
      </w:r>
      <w:r w:rsidR="007E314E">
        <w:t xml:space="preserve"> Physical Activity Survey (2011-12 </w:t>
      </w:r>
      <w:r w:rsidR="007E314E" w:rsidRPr="00633236">
        <w:t>NNPAS)</w:t>
      </w:r>
      <w:bookmarkEnd w:id="175"/>
      <w:bookmarkEnd w:id="176"/>
      <w:bookmarkEnd w:id="177"/>
      <w:bookmarkEnd w:id="178"/>
      <w:bookmarkEnd w:id="179"/>
      <w:bookmarkEnd w:id="180"/>
      <w:bookmarkEnd w:id="181"/>
      <w:bookmarkEnd w:id="182"/>
      <w:bookmarkEnd w:id="183"/>
    </w:p>
    <w:p w14:paraId="5DF5FB00" w14:textId="696F8BB1" w:rsidR="007E314E" w:rsidRDefault="007E314E" w:rsidP="007E314E">
      <w:r w:rsidRPr="00633236">
        <w:t xml:space="preserve">The 2011–12 Australian National Nutrition and Physical Activity Survey (NNPAS) undertaken by the Australian Bureau of Statistics is the most recent food consumption data for Australia. This survey includes dietary patterns of a sample of 12,153 Australians aged 2 years and above. The survey used a 24-hour recall method for all respondents, with 64% of respondents also </w:t>
      </w:r>
      <w:r w:rsidRPr="00633236">
        <w:rPr>
          <w:szCs w:val="22"/>
        </w:rPr>
        <w:t xml:space="preserve">completing a second 24-hour recall on a second, non-consecutive day. The collection dates of the data were May 2011 to </w:t>
      </w:r>
      <w:r w:rsidRPr="00E145BE">
        <w:rPr>
          <w:szCs w:val="22"/>
        </w:rPr>
        <w:t>June 2012 (with no enumeration between August and September 2011 due to the Census)</w:t>
      </w:r>
      <w:r w:rsidRPr="00E145BE">
        <w:rPr>
          <w:lang w:eastAsia="en-AU"/>
        </w:rPr>
        <w:t xml:space="preserve">. Only those respondents who had two days of food consumption data were used to estimate </w:t>
      </w:r>
      <w:r w:rsidR="002E0CB2">
        <w:rPr>
          <w:lang w:eastAsia="en-AU"/>
        </w:rPr>
        <w:t>potassium polyaspartate exposures</w:t>
      </w:r>
      <w:r w:rsidRPr="00E145BE">
        <w:rPr>
          <w:lang w:eastAsia="en-AU"/>
        </w:rPr>
        <w:t xml:space="preserve">. </w:t>
      </w:r>
      <w:r w:rsidRPr="00E145BE">
        <w:t xml:space="preserve">Consumption and respondent data from the </w:t>
      </w:r>
      <w:r w:rsidRPr="00E145BE">
        <w:rPr>
          <w:i/>
        </w:rPr>
        <w:t>Confidentialised Unit Record File</w:t>
      </w:r>
      <w:r w:rsidRPr="00E145BE">
        <w:t>s (CURF)</w:t>
      </w:r>
      <w:r>
        <w:t xml:space="preserve"> data set </w:t>
      </w:r>
      <w:r>
        <w:fldChar w:fldCharType="begin"/>
      </w:r>
      <w:r>
        <w:instrText>ADDIN CITAVI.PLACEHOLDER 81dcea81-159d-486e-b0b0-9c27670cc070 PFBsYWNlaG9sZGVyPg0KICA8QWRkSW5WZXJzaW9uPjUuNS4wLjE8L0FkZEluVmVyc2lvbj4NCiAgPElkPjgxZGNlYTgxLTE1OWQtNDg2ZS1iMGIwLTljMjc2NzBjYzA3MDwvSWQ+DQogIDxFbnRyaWVzPg0KICAgIDxFbnRyeT4NCiAgICAgIDxJZD45YzUzZDA5Yi0zZjgxLTQyY2ItODNmNS05NzI4MGZkZmExNWI8L0lkPg0KICAgICAgPFJlZmVyZW5jZUlkPjFjZDViNjkzLTFlNjctNGRjZi1iNDczLTQ1M2JhMzA5MjNlMzwvUmVmZXJlbmNlSWQ+DQogICAgICA8UmFuZ2U+DQogICAgICAgIDxTdGFydD4wPC9TdGFydD4NCiAgICAgICAgPExlbmd0aD4xMTwvTGVuZ3RoPg0KICAgICAgPC9SYW5nZT4NCiAgICAgIDxSZWZlcmVuY2U+DQogICAgICAgIDxSZWZlcmVuY2VUeXBlSWQ+Qm9vazwvUmVmZXJlbmNlVHlwZUlkPg0KICAgICAgICA8QXV0aG9ycz4NCiAgICAgICAgICA8UGVyc29uPg0KICAgICAgICAgICAgPExhc3ROYW1lPkFCUzwvTGFzdE5hbWU+DQogICAgICAgICAgPC9QZXJzb24+DQogICAgICAgIDwvQXV0aG9ycz4NCiAgICAgICAgPElkPjFjZDViNjkzLTFlNjctNGRjZi1iNDczLTQ1M2JhMzA5MjNlMzwvSWQ+DQogICAgICAgIDxTZXF1ZW5jZU51bWJlcj4xNDc8L1NlcXVlbmNlTnVtYmVyPg0KICAgICAgICA8U2hvcnRUaXRsZT5BQlMgMjAxNSDigJMgTmF0aW9uYWwgTnV0cml0aW9uIGFuZCBQaHlzaWNhbCBBY3Rpdml0eTwvU2hvcnRUaXRsZT4NCiAgICAgICAgPFRpdGxlPk5hdGlvbmFsIE51dHJpdGlvbiBhbmQgUGh5c2ljYWwgQWN0aXZpdHkgU3VydmV5LCAyMDExLTEyLCBCYXNpYyBDVVJGLCBDRC1ST00uIDJuZCBFZGl0aW9uPC9UaXRsZT4NCiAgICAgICAgPFllYXI+MjAxNTwvWWVhcj4NCiAgICAgIDwvUmVmZXJlbmNlPg0KICAgIDwvRW50cnk+DQogIDwvRW50cmllcz4NCiAgPFRleHQ+KEFCUy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UywgMjAxNSk8L1RleHQ+DQogICAgPC9UZXh0VW5pdD4NCiAgPC9UZXh0VW5pdHM+DQo8L1BsYWNlaG9sZGVyPg==</w:instrText>
      </w:r>
      <w:r>
        <w:fldChar w:fldCharType="separate"/>
      </w:r>
      <w:bookmarkStart w:id="184" w:name="_CTVP00181dcea81159d486eb0b09c27670cc070"/>
      <w:r>
        <w:t>(ABS, 2015)</w:t>
      </w:r>
      <w:bookmarkEnd w:id="184"/>
      <w:r>
        <w:fldChar w:fldCharType="end"/>
      </w:r>
      <w:r>
        <w:t xml:space="preserve"> </w:t>
      </w:r>
      <w:r w:rsidRPr="00633236">
        <w:t xml:space="preserve">form part of the Harvest core data set. </w:t>
      </w:r>
      <w:r>
        <w:t>These data were used weighted in Harvest.</w:t>
      </w:r>
    </w:p>
    <w:p w14:paraId="61128033" w14:textId="77777777" w:rsidR="002E0CB2" w:rsidRPr="00633236" w:rsidRDefault="002E0CB2" w:rsidP="007E314E"/>
    <w:p w14:paraId="40AB1713" w14:textId="4C5B6557" w:rsidR="007E314E" w:rsidRPr="00633236" w:rsidRDefault="008A283C" w:rsidP="009449B9">
      <w:pPr>
        <w:pStyle w:val="Heading3"/>
      </w:pPr>
      <w:bookmarkStart w:id="185" w:name="_Toc238553772"/>
      <w:bookmarkStart w:id="186" w:name="_Toc415041939"/>
      <w:bookmarkStart w:id="187" w:name="_Toc415041940"/>
      <w:bookmarkStart w:id="188" w:name="_Toc483902168"/>
      <w:bookmarkStart w:id="189" w:name="_Toc484004352"/>
      <w:bookmarkStart w:id="190" w:name="_Toc487190334"/>
      <w:bookmarkStart w:id="191" w:name="_Toc491169347"/>
      <w:bookmarkStart w:id="192" w:name="_Toc521330364"/>
      <w:bookmarkStart w:id="193" w:name="_Toc522276797"/>
      <w:bookmarkStart w:id="194" w:name="_Toc522780522"/>
      <w:bookmarkStart w:id="195" w:name="_Toc524342563"/>
      <w:bookmarkEnd w:id="185"/>
      <w:bookmarkEnd w:id="186"/>
      <w:r>
        <w:t xml:space="preserve">1.1.2 </w:t>
      </w:r>
      <w:r w:rsidR="007E314E" w:rsidRPr="00633236">
        <w:t>2002 New Zealand National Children’s Nutrition Survey (2002 NZ CNS)</w:t>
      </w:r>
      <w:bookmarkEnd w:id="187"/>
      <w:bookmarkEnd w:id="188"/>
      <w:bookmarkEnd w:id="189"/>
      <w:bookmarkEnd w:id="190"/>
      <w:bookmarkEnd w:id="191"/>
      <w:bookmarkEnd w:id="192"/>
      <w:bookmarkEnd w:id="193"/>
      <w:bookmarkEnd w:id="194"/>
      <w:bookmarkEnd w:id="195"/>
    </w:p>
    <w:p w14:paraId="7EA11934" w14:textId="6DF95AE1" w:rsidR="007E314E" w:rsidRDefault="007E314E" w:rsidP="007E314E">
      <w:r w:rsidRPr="00633236">
        <w:t xml:space="preserve">The 2002 NZ CNS was a cross-sectional and </w:t>
      </w:r>
      <w:r w:rsidRPr="00633236">
        <w:rPr>
          <w:rFonts w:cs="Arial"/>
        </w:rPr>
        <w:t xml:space="preserve">nationally representative </w:t>
      </w:r>
      <w:r w:rsidRPr="00633236">
        <w:t xml:space="preserve">survey of </w:t>
      </w:r>
      <w:r w:rsidRPr="00633236">
        <w:rPr>
          <w:rFonts w:cs="Arial"/>
        </w:rPr>
        <w:t xml:space="preserve">3,275 </w:t>
      </w:r>
      <w:r w:rsidRPr="00633236">
        <w:t xml:space="preserve">New Zealand children </w:t>
      </w:r>
      <w:r w:rsidRPr="00633236">
        <w:rPr>
          <w:rFonts w:cs="Arial"/>
        </w:rPr>
        <w:t>aged 5-14 years.</w:t>
      </w:r>
      <w:r w:rsidRPr="00633236">
        <w:t xml:space="preserve"> The collection period for the data was </w:t>
      </w:r>
      <w:r w:rsidRPr="00633236">
        <w:rPr>
          <w:rFonts w:cs="Arial"/>
        </w:rPr>
        <w:t xml:space="preserve">during the school year from February to December 2002. The survey used a 24-hour food recall and </w:t>
      </w:r>
      <w:r w:rsidRPr="00633236">
        <w:t xml:space="preserve">provided information on food and nutrient intakes, eating patterns, frequently eaten foods, </w:t>
      </w:r>
      <w:r w:rsidRPr="00633236">
        <w:rPr>
          <w:rFonts w:cs="Arial"/>
        </w:rPr>
        <w:t>physical activity patterns, dental health, anthropometric measures and nutrition-related clinical measures.</w:t>
      </w:r>
      <w:r w:rsidRPr="00633236">
        <w:t xml:space="preserve"> It was also the first children’s nutrition survey in New Zealand to include a second day diet recall data for about 15% of the respondents, and dietary intake from both foods (including beverages) and dietary supplements. </w:t>
      </w:r>
      <w:r w:rsidRPr="001D2C27">
        <w:rPr>
          <w:lang w:val="en-AU" w:eastAsia="en-AU"/>
        </w:rPr>
        <w:t xml:space="preserve">Only the Day 1 24-hour recall data for all respondents (excluding supplements) were used for this assessment. </w:t>
      </w:r>
      <w:r w:rsidRPr="001D2C27">
        <w:t>These data are used weighted in Harvest.</w:t>
      </w:r>
      <w:r>
        <w:t xml:space="preserve"> </w:t>
      </w:r>
    </w:p>
    <w:p w14:paraId="122055B7" w14:textId="77777777" w:rsidR="002E0CB2" w:rsidRPr="007949D2" w:rsidRDefault="002E0CB2" w:rsidP="007E314E">
      <w:pPr>
        <w:rPr>
          <w:lang w:val="en-AU" w:eastAsia="en-AU"/>
        </w:rPr>
      </w:pPr>
    </w:p>
    <w:p w14:paraId="0550CFEA" w14:textId="6D1C3ED0" w:rsidR="007E314E" w:rsidRPr="00633236" w:rsidRDefault="008A283C" w:rsidP="009449B9">
      <w:pPr>
        <w:pStyle w:val="Heading3"/>
      </w:pPr>
      <w:bookmarkStart w:id="196" w:name="_Toc415041941"/>
      <w:bookmarkStart w:id="197" w:name="_Toc483902169"/>
      <w:bookmarkStart w:id="198" w:name="_Toc484004353"/>
      <w:bookmarkStart w:id="199" w:name="_Toc487190335"/>
      <w:bookmarkStart w:id="200" w:name="_Toc491169348"/>
      <w:bookmarkStart w:id="201" w:name="_Toc521330365"/>
      <w:bookmarkStart w:id="202" w:name="_Toc522276798"/>
      <w:bookmarkStart w:id="203" w:name="_Toc522780523"/>
      <w:bookmarkStart w:id="204" w:name="_Toc524342564"/>
      <w:r>
        <w:t xml:space="preserve">1.1.3 </w:t>
      </w:r>
      <w:r w:rsidR="007E314E" w:rsidRPr="00633236">
        <w:t>2008</w:t>
      </w:r>
      <w:r w:rsidR="007E314E">
        <w:t>-</w:t>
      </w:r>
      <w:r w:rsidR="007E314E" w:rsidRPr="00633236">
        <w:t>09 New Zealand Adult Nutrition Survey (2008 NZ</w:t>
      </w:r>
      <w:r w:rsidR="007E314E">
        <w:t xml:space="preserve"> </w:t>
      </w:r>
      <w:r w:rsidR="007E314E" w:rsidRPr="00633236">
        <w:t>ANS)</w:t>
      </w:r>
      <w:bookmarkEnd w:id="196"/>
      <w:bookmarkEnd w:id="197"/>
      <w:bookmarkEnd w:id="198"/>
      <w:bookmarkEnd w:id="199"/>
      <w:bookmarkEnd w:id="200"/>
      <w:bookmarkEnd w:id="201"/>
      <w:bookmarkEnd w:id="202"/>
      <w:bookmarkEnd w:id="203"/>
      <w:bookmarkEnd w:id="204"/>
    </w:p>
    <w:p w14:paraId="0844E667" w14:textId="574AE15C" w:rsidR="007E314E" w:rsidRDefault="007E314E" w:rsidP="007E314E">
      <w:pPr>
        <w:rPr>
          <w:lang w:val="en-AU" w:eastAsia="en-AU"/>
        </w:rPr>
      </w:pPr>
      <w:r w:rsidRPr="00633236">
        <w:rPr>
          <w:lang w:eastAsia="en-AU"/>
        </w:rPr>
        <w:t xml:space="preserve">The 2008 NZ ANS provides comprehensive information on the dietary patterns of a sample of 4,721 respondents aged 15 years and above. Collection of </w:t>
      </w:r>
      <w:r w:rsidR="002E0CB2">
        <w:rPr>
          <w:lang w:eastAsia="en-AU"/>
        </w:rPr>
        <w:t>d</w:t>
      </w:r>
      <w:r w:rsidRPr="00633236">
        <w:rPr>
          <w:lang w:eastAsia="en-AU"/>
        </w:rPr>
        <w:t>ata for the survey occurred on a stratified sample over a 12-month period b</w:t>
      </w:r>
      <w:r>
        <w:rPr>
          <w:lang w:eastAsia="en-AU"/>
        </w:rPr>
        <w:t>etween</w:t>
      </w:r>
      <w:r w:rsidRPr="00633236">
        <w:rPr>
          <w:lang w:eastAsia="en-AU"/>
        </w:rPr>
        <w:t xml:space="preserve"> October 2008</w:t>
      </w:r>
      <w:r w:rsidRPr="00633236">
        <w:rPr>
          <w:lang w:eastAsia="en-AU"/>
        </w:rPr>
        <w:noBreakHyphen/>
        <w:t>October 2009. The survey used a 24-hour recall methodology with 25% of respondents also completing a second 24-hour recall.</w:t>
      </w:r>
      <w:r w:rsidRPr="00633236">
        <w:rPr>
          <w:rFonts w:cs="Arial"/>
        </w:rPr>
        <w:t xml:space="preserve"> The information collected in the 2008 NZ</w:t>
      </w:r>
      <w:r>
        <w:rPr>
          <w:rFonts w:cs="Arial"/>
        </w:rPr>
        <w:t xml:space="preserve"> </w:t>
      </w:r>
      <w:r w:rsidRPr="00633236">
        <w:rPr>
          <w:rFonts w:cs="Arial"/>
        </w:rPr>
        <w:t xml:space="preserve">ANS </w:t>
      </w:r>
      <w:r w:rsidRPr="00633236">
        <w:t>included food and nutrient intakes, dietary supplement use, socio-demographics, nutrition related health, and</w:t>
      </w:r>
      <w:r w:rsidRPr="00633236">
        <w:rPr>
          <w:rFonts w:cs="Arial"/>
        </w:rPr>
        <w:t xml:space="preserve"> anthropometric measures.</w:t>
      </w:r>
      <w:r w:rsidRPr="00633236">
        <w:t xml:space="preserve"> </w:t>
      </w:r>
      <w:bookmarkEnd w:id="159"/>
      <w:bookmarkEnd w:id="160"/>
      <w:bookmarkEnd w:id="161"/>
      <w:bookmarkEnd w:id="162"/>
      <w:r w:rsidRPr="007949D2">
        <w:rPr>
          <w:lang w:val="en-AU" w:eastAsia="en-AU"/>
        </w:rPr>
        <w:t>Only the Day 1 24-hour recall data for all respondents</w:t>
      </w:r>
      <w:r>
        <w:rPr>
          <w:lang w:val="en-AU" w:eastAsia="en-AU"/>
        </w:rPr>
        <w:t xml:space="preserve"> (excluding supplements)</w:t>
      </w:r>
      <w:r w:rsidRPr="007949D2">
        <w:rPr>
          <w:lang w:val="en-AU" w:eastAsia="en-AU"/>
        </w:rPr>
        <w:t xml:space="preserve"> were used for this assessment. These data are used weighted in Harvest.</w:t>
      </w:r>
    </w:p>
    <w:p w14:paraId="640B12E0" w14:textId="77777777" w:rsidR="002E0CB2" w:rsidRDefault="002E0CB2" w:rsidP="007E314E">
      <w:pPr>
        <w:rPr>
          <w:lang w:val="en-AU" w:eastAsia="en-AU"/>
        </w:rPr>
      </w:pPr>
    </w:p>
    <w:p w14:paraId="197F1A2A" w14:textId="72A7292C" w:rsidR="007E314E" w:rsidRDefault="007E314E" w:rsidP="007E314E"/>
    <w:p w14:paraId="150C3B64" w14:textId="2AF419D9" w:rsidR="00B77FB7" w:rsidRPr="00AA5316" w:rsidRDefault="00B77FB7" w:rsidP="0087004A">
      <w:pPr>
        <w:rPr>
          <w:lang w:eastAsia="en-AU" w:bidi="ar-SA"/>
        </w:rPr>
      </w:pPr>
    </w:p>
    <w:sectPr w:rsidR="00B77FB7" w:rsidRPr="00AA5316" w:rsidSect="00321EDA">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56B6E" w14:textId="77777777" w:rsidR="007602E8" w:rsidRDefault="007602E8">
      <w:r>
        <w:separator/>
      </w:r>
    </w:p>
  </w:endnote>
  <w:endnote w:type="continuationSeparator" w:id="0">
    <w:p w14:paraId="3D942ECF" w14:textId="77777777" w:rsidR="007602E8" w:rsidRDefault="007602E8">
      <w:r>
        <w:continuationSeparator/>
      </w:r>
    </w:p>
  </w:endnote>
  <w:endnote w:type="continuationNotice" w:id="1">
    <w:p w14:paraId="0CABC639" w14:textId="77777777" w:rsidR="007602E8" w:rsidRDefault="0076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479314"/>
      <w:docPartObj>
        <w:docPartGallery w:val="Page Numbers (Bottom of Page)"/>
        <w:docPartUnique/>
      </w:docPartObj>
    </w:sdtPr>
    <w:sdtEndPr>
      <w:rPr>
        <w:noProof/>
      </w:rPr>
    </w:sdtEndPr>
    <w:sdtContent>
      <w:p w14:paraId="71BF6028" w14:textId="3B24F7EB" w:rsidR="007602E8" w:rsidRDefault="007602E8">
        <w:pPr>
          <w:pStyle w:val="Footer"/>
          <w:jc w:val="right"/>
        </w:pPr>
        <w:r>
          <w:fldChar w:fldCharType="begin"/>
        </w:r>
        <w:r>
          <w:instrText xml:space="preserve"> PAGE   \* MERGEFORMAT </w:instrText>
        </w:r>
        <w:r>
          <w:fldChar w:fldCharType="separate"/>
        </w:r>
        <w:r w:rsidR="003E4572">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ED829" w14:textId="2FBC46BB" w:rsidR="007602E8" w:rsidRDefault="007602E8" w:rsidP="00BB3A8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7977B76" w14:textId="77777777" w:rsidR="007602E8" w:rsidRDefault="007602E8" w:rsidP="003E4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219132"/>
      <w:docPartObj>
        <w:docPartGallery w:val="Page Numbers (Bottom of Page)"/>
        <w:docPartUnique/>
      </w:docPartObj>
    </w:sdtPr>
    <w:sdtEndPr>
      <w:rPr>
        <w:noProof/>
      </w:rPr>
    </w:sdtEndPr>
    <w:sdtContent>
      <w:p w14:paraId="60DAD244" w14:textId="5FE7E08B" w:rsidR="007602E8" w:rsidRDefault="007602E8">
        <w:pPr>
          <w:pStyle w:val="Footer"/>
          <w:jc w:val="center"/>
        </w:pPr>
        <w:r>
          <w:fldChar w:fldCharType="begin"/>
        </w:r>
        <w:r>
          <w:instrText xml:space="preserve"> PAGE   \* MERGEFORMAT </w:instrText>
        </w:r>
        <w:r>
          <w:fldChar w:fldCharType="separate"/>
        </w:r>
        <w:r w:rsidR="003E4572">
          <w:rPr>
            <w:noProof/>
          </w:rPr>
          <w:t>21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FA78" w14:textId="041F88A5" w:rsidR="007602E8" w:rsidRPr="003E4572" w:rsidRDefault="007602E8" w:rsidP="003E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F348B" w14:textId="77777777" w:rsidR="007602E8" w:rsidRDefault="007602E8">
      <w:r>
        <w:separator/>
      </w:r>
    </w:p>
  </w:footnote>
  <w:footnote w:type="continuationSeparator" w:id="0">
    <w:p w14:paraId="6D01A1F1" w14:textId="77777777" w:rsidR="007602E8" w:rsidRDefault="007602E8">
      <w:r>
        <w:continuationSeparator/>
      </w:r>
    </w:p>
  </w:footnote>
  <w:footnote w:type="continuationNotice" w:id="1">
    <w:p w14:paraId="2F0674C7" w14:textId="77777777" w:rsidR="007602E8" w:rsidRDefault="007602E8"/>
  </w:footnote>
  <w:footnote w:id="2">
    <w:p w14:paraId="4B84D5F9" w14:textId="3A306A67" w:rsidR="007602E8" w:rsidRPr="00667474" w:rsidRDefault="007602E8" w:rsidP="00667474">
      <w:pPr>
        <w:pStyle w:val="FootnoteText"/>
        <w:rPr>
          <w:rFonts w:cs="Arial"/>
          <w:lang w:val="en-AU"/>
        </w:rPr>
      </w:pPr>
      <w:r>
        <w:rPr>
          <w:rStyle w:val="FootnoteReference"/>
        </w:rPr>
        <w:footnoteRef/>
      </w:r>
      <w:r>
        <w:t xml:space="preserve"> </w:t>
      </w:r>
      <w:r>
        <w:rPr>
          <w:lang w:val="en-AU"/>
        </w:rPr>
        <w:t xml:space="preserve">The term ‘pumping-over’ when used in winemaking refers to </w:t>
      </w:r>
      <w:r w:rsidRPr="00667474">
        <w:rPr>
          <w:rFonts w:cs="Arial"/>
          <w:color w:val="252525"/>
          <w:spacing w:val="3"/>
          <w:lang w:val="en"/>
        </w:rPr>
        <w:t xml:space="preserve">pumping wine up from the bottom of the tank and splashing it over the </w:t>
      </w:r>
      <w:r>
        <w:rPr>
          <w:rFonts w:cs="Arial"/>
          <w:color w:val="252525"/>
          <w:spacing w:val="3"/>
          <w:lang w:val="en"/>
        </w:rPr>
        <w:t xml:space="preserve">wine at the </w:t>
      </w:r>
      <w:r w:rsidRPr="00667474">
        <w:rPr>
          <w:rFonts w:cs="Arial"/>
          <w:color w:val="252525"/>
          <w:spacing w:val="3"/>
          <w:lang w:val="en"/>
        </w:rPr>
        <w:t xml:space="preserve">top of the </w:t>
      </w:r>
      <w:r>
        <w:rPr>
          <w:rFonts w:cs="Arial"/>
          <w:color w:val="252525"/>
          <w:spacing w:val="3"/>
          <w:lang w:val="en"/>
        </w:rPr>
        <w:t>tank</w:t>
      </w:r>
      <w:r w:rsidRPr="00667474">
        <w:rPr>
          <w:rFonts w:cs="Arial"/>
          <w:color w:val="252525"/>
          <w:spacing w:val="3"/>
          <w:lang w:val="en"/>
        </w:rPr>
        <w:t>.</w:t>
      </w:r>
      <w:r>
        <w:rPr>
          <w:rFonts w:cs="Arial"/>
          <w:color w:val="252525"/>
          <w:spacing w:val="3"/>
          <w:lang w:val="en"/>
        </w:rPr>
        <w:t xml:space="preserve"> In this example, pumping-over is used as a way to uniformly distribute or mix in in a food additive. The term ‘dosage in-line’ refers to a food additive being added to pipes and uniform distribution occurs as wine moves through pipes.</w:t>
      </w:r>
    </w:p>
  </w:footnote>
  <w:footnote w:id="3">
    <w:p w14:paraId="1C9E7333" w14:textId="4ECB8107" w:rsidR="007602E8" w:rsidRPr="00A91730" w:rsidRDefault="007602E8">
      <w:pPr>
        <w:pStyle w:val="FootnoteText"/>
        <w:rPr>
          <w:lang w:val="en-AU"/>
        </w:rPr>
      </w:pPr>
      <w:r>
        <w:rPr>
          <w:rStyle w:val="FootnoteReference"/>
        </w:rPr>
        <w:footnoteRef/>
      </w:r>
      <w:r>
        <w:t xml:space="preserve"> A </w:t>
      </w:r>
      <w:r>
        <w:rPr>
          <w:lang w:val="en-AU"/>
        </w:rPr>
        <w:t xml:space="preserve">mini-contact test measures the drop in conductivity of 100 mL wine sample after seeding (addition of potassium bitartrate crystals at 10 g/L). The greater the change in conductivity the higher the tartaric instability (Bosso et al, 2015b). </w:t>
      </w:r>
    </w:p>
  </w:footnote>
  <w:footnote w:id="4">
    <w:p w14:paraId="191667AD" w14:textId="77777777" w:rsidR="007602E8" w:rsidRPr="007E5310" w:rsidRDefault="007602E8" w:rsidP="003046E6">
      <w:pPr>
        <w:pStyle w:val="FootnoteText"/>
        <w:rPr>
          <w:lang w:val="en-AU"/>
        </w:rPr>
      </w:pPr>
      <w:r>
        <w:rPr>
          <w:rStyle w:val="FootnoteReference"/>
        </w:rPr>
        <w:footnoteRef/>
      </w:r>
      <w:r>
        <w:t xml:space="preserve"> </w:t>
      </w:r>
      <w:r w:rsidRPr="007E5310">
        <w:rPr>
          <w:sz w:val="22"/>
          <w:szCs w:val="22"/>
        </w:rPr>
        <w:t>Harvest is FSANZ’s custom-built platform to calculate dietary exposures</w:t>
      </w:r>
      <w:r>
        <w:t>.</w:t>
      </w:r>
    </w:p>
  </w:footnote>
  <w:footnote w:id="5">
    <w:p w14:paraId="717BBBBE" w14:textId="5EC3BD1B" w:rsidR="007602E8" w:rsidRDefault="007602E8">
      <w:r w:rsidRPr="006D6820">
        <w:rPr>
          <w:rStyle w:val="FootnoteReference"/>
          <w:sz w:val="18"/>
        </w:rPr>
        <w:footnoteRef/>
      </w:r>
      <w:r w:rsidRPr="006D6820">
        <w:rPr>
          <w:sz w:val="18"/>
        </w:rPr>
        <w:t xml:space="preserve"> </w:t>
      </w:r>
      <w:r w:rsidRPr="006D6820">
        <w:rPr>
          <w:sz w:val="18"/>
          <w:lang w:val="en-AU"/>
        </w:rPr>
        <w:t>Based on dietary exposures to potassium polyaspartate estimated by FSANZ</w:t>
      </w:r>
      <w:r>
        <w:rPr>
          <w:sz w:val="18"/>
          <w:lang w:val="en-AU"/>
        </w:rPr>
        <w:t xml:space="preserve"> from additive uses in wine only</w:t>
      </w:r>
      <w:r w:rsidRPr="006D6820">
        <w:rPr>
          <w:sz w:val="18"/>
          <w:lang w:val="en-AU"/>
        </w:rPr>
        <w:t>, and assuming 100% breakdown, and converting potassium polyaspartate to aspartic acid based on the ratio of molecular weights (</w:t>
      </w:r>
      <w:r>
        <w:rPr>
          <w:sz w:val="18"/>
          <w:lang w:val="en-AU"/>
        </w:rPr>
        <w:t>1100 g/mol</w:t>
      </w:r>
      <w:r w:rsidRPr="006D6820">
        <w:rPr>
          <w:sz w:val="18"/>
          <w:lang w:val="en-AU"/>
        </w:rPr>
        <w:t xml:space="preserve"> for potassium polyaspartate</w:t>
      </w:r>
      <w:r>
        <w:rPr>
          <w:sz w:val="18"/>
          <w:lang w:val="en-AU"/>
        </w:rPr>
        <w:t xml:space="preserve"> [number average molecular weight used as the most conservative value]</w:t>
      </w:r>
      <w:r w:rsidRPr="006D6820">
        <w:rPr>
          <w:sz w:val="18"/>
          <w:lang w:val="en-AU"/>
        </w:rPr>
        <w:t>,</w:t>
      </w:r>
      <w:r>
        <w:rPr>
          <w:sz w:val="18"/>
          <w:lang w:val="en-AU"/>
        </w:rPr>
        <w:t xml:space="preserve"> 133.1 g/mol</w:t>
      </w:r>
      <w:r w:rsidRPr="006D6820">
        <w:rPr>
          <w:sz w:val="18"/>
          <w:lang w:val="en-AU"/>
        </w:rPr>
        <w:t xml:space="preserve"> for aspartic acid).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2EA8" w14:textId="40735D92" w:rsidR="007602E8" w:rsidRPr="003E4572" w:rsidRDefault="007602E8" w:rsidP="003E4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187D" w14:textId="48653BBB" w:rsidR="007602E8" w:rsidRPr="007D03EA" w:rsidRDefault="007602E8" w:rsidP="007D03EA">
    <w:pPr>
      <w:pStyle w:val="Header"/>
      <w:jc w:val="center"/>
      <w:rPr>
        <w:rFonts w:cs="Arial"/>
        <w:b/>
      </w:rPr>
    </w:pPr>
    <w:r w:rsidRPr="007D03EA">
      <w:rPr>
        <w:rFonts w:cs="Arial"/>
        <w:b/>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D45B" w14:textId="77D66382" w:rsidR="007602E8" w:rsidRDefault="007602E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14A8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F6F1B49"/>
    <w:multiLevelType w:val="hybridMultilevel"/>
    <w:tmpl w:val="A132673A"/>
    <w:lvl w:ilvl="0" w:tplc="F8CC72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D24E2D"/>
    <w:multiLevelType w:val="hybridMultilevel"/>
    <w:tmpl w:val="B640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4078E"/>
    <w:multiLevelType w:val="hybridMultilevel"/>
    <w:tmpl w:val="E7484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83F2D43"/>
    <w:multiLevelType w:val="multilevel"/>
    <w:tmpl w:val="81262732"/>
    <w:lvl w:ilvl="0">
      <w:start w:val="1"/>
      <w:numFmt w:val="decimal"/>
      <w:lvlText w:val="%1."/>
      <w:lvlJc w:val="left"/>
      <w:pPr>
        <w:ind w:left="36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DC94025"/>
    <w:multiLevelType w:val="hybridMultilevel"/>
    <w:tmpl w:val="D340E814"/>
    <w:lvl w:ilvl="0" w:tplc="E506DB4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7"/>
  </w:num>
  <w:num w:numId="3">
    <w:abstractNumId w:val="2"/>
  </w:num>
  <w:num w:numId="4">
    <w:abstractNumId w:val="8"/>
  </w:num>
  <w:num w:numId="5">
    <w:abstractNumId w:val="6"/>
  </w:num>
  <w:num w:numId="6">
    <w:abstractNumId w:val="3"/>
  </w:num>
  <w:num w:numId="7">
    <w:abstractNumId w:val="9"/>
  </w:num>
  <w:num w:numId="8">
    <w:abstractNumId w:val="0"/>
  </w:num>
  <w:num w:numId="9">
    <w:abstractNumId w:val="1"/>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10CED"/>
    <w:rsid w:val="00011A6D"/>
    <w:rsid w:val="00013D8C"/>
    <w:rsid w:val="00022A71"/>
    <w:rsid w:val="00026E6D"/>
    <w:rsid w:val="00027AB5"/>
    <w:rsid w:val="00030159"/>
    <w:rsid w:val="00030FAB"/>
    <w:rsid w:val="00031DFC"/>
    <w:rsid w:val="00032747"/>
    <w:rsid w:val="00034DE6"/>
    <w:rsid w:val="00035FF3"/>
    <w:rsid w:val="00040B5F"/>
    <w:rsid w:val="00042C9B"/>
    <w:rsid w:val="00042F05"/>
    <w:rsid w:val="00043797"/>
    <w:rsid w:val="00051021"/>
    <w:rsid w:val="000517F5"/>
    <w:rsid w:val="00051ED9"/>
    <w:rsid w:val="000547F1"/>
    <w:rsid w:val="00057181"/>
    <w:rsid w:val="000623D8"/>
    <w:rsid w:val="0006473A"/>
    <w:rsid w:val="00064B2D"/>
    <w:rsid w:val="0006565D"/>
    <w:rsid w:val="00065F1F"/>
    <w:rsid w:val="00066D3A"/>
    <w:rsid w:val="000726B7"/>
    <w:rsid w:val="0007298E"/>
    <w:rsid w:val="00075AD7"/>
    <w:rsid w:val="00076D33"/>
    <w:rsid w:val="0008099A"/>
    <w:rsid w:val="000811AF"/>
    <w:rsid w:val="00082D2A"/>
    <w:rsid w:val="00082D4C"/>
    <w:rsid w:val="00090B6B"/>
    <w:rsid w:val="00091334"/>
    <w:rsid w:val="00092CDA"/>
    <w:rsid w:val="0009361F"/>
    <w:rsid w:val="00093DBE"/>
    <w:rsid w:val="00097F15"/>
    <w:rsid w:val="000A27E9"/>
    <w:rsid w:val="000A2D11"/>
    <w:rsid w:val="000A2FFC"/>
    <w:rsid w:val="000A3D8B"/>
    <w:rsid w:val="000A5264"/>
    <w:rsid w:val="000A5DF8"/>
    <w:rsid w:val="000B1AA5"/>
    <w:rsid w:val="000B44B5"/>
    <w:rsid w:val="000B47A2"/>
    <w:rsid w:val="000B4C50"/>
    <w:rsid w:val="000B6AF2"/>
    <w:rsid w:val="000B75ED"/>
    <w:rsid w:val="000C1379"/>
    <w:rsid w:val="000C43F1"/>
    <w:rsid w:val="000C57F6"/>
    <w:rsid w:val="000C5C35"/>
    <w:rsid w:val="000D2700"/>
    <w:rsid w:val="000D39FA"/>
    <w:rsid w:val="000D5738"/>
    <w:rsid w:val="000D6D78"/>
    <w:rsid w:val="000D6FD4"/>
    <w:rsid w:val="000E0AE4"/>
    <w:rsid w:val="000E117A"/>
    <w:rsid w:val="000E1612"/>
    <w:rsid w:val="000E3DBC"/>
    <w:rsid w:val="00100DBA"/>
    <w:rsid w:val="001034D7"/>
    <w:rsid w:val="00104C11"/>
    <w:rsid w:val="00113CE3"/>
    <w:rsid w:val="00115D4E"/>
    <w:rsid w:val="00117522"/>
    <w:rsid w:val="001235D5"/>
    <w:rsid w:val="001243D6"/>
    <w:rsid w:val="00124B22"/>
    <w:rsid w:val="00124FBE"/>
    <w:rsid w:val="00127002"/>
    <w:rsid w:val="001328DC"/>
    <w:rsid w:val="00134BEA"/>
    <w:rsid w:val="00136723"/>
    <w:rsid w:val="00141A98"/>
    <w:rsid w:val="00141DE5"/>
    <w:rsid w:val="001531B8"/>
    <w:rsid w:val="001542D8"/>
    <w:rsid w:val="00155684"/>
    <w:rsid w:val="00155D04"/>
    <w:rsid w:val="00164130"/>
    <w:rsid w:val="00166821"/>
    <w:rsid w:val="00167061"/>
    <w:rsid w:val="001803FA"/>
    <w:rsid w:val="00180C41"/>
    <w:rsid w:val="00181D86"/>
    <w:rsid w:val="001824AE"/>
    <w:rsid w:val="00182C4C"/>
    <w:rsid w:val="00183B01"/>
    <w:rsid w:val="00186EE6"/>
    <w:rsid w:val="001945CD"/>
    <w:rsid w:val="00195AAF"/>
    <w:rsid w:val="00197D8D"/>
    <w:rsid w:val="001A1325"/>
    <w:rsid w:val="001A1A75"/>
    <w:rsid w:val="001A1ECA"/>
    <w:rsid w:val="001A7E9A"/>
    <w:rsid w:val="001B00A8"/>
    <w:rsid w:val="001B1C58"/>
    <w:rsid w:val="001B2BE2"/>
    <w:rsid w:val="001B32BF"/>
    <w:rsid w:val="001B33FF"/>
    <w:rsid w:val="001C27A3"/>
    <w:rsid w:val="001C41F1"/>
    <w:rsid w:val="001C5295"/>
    <w:rsid w:val="001C5A3F"/>
    <w:rsid w:val="001C75BF"/>
    <w:rsid w:val="001D013D"/>
    <w:rsid w:val="001D0640"/>
    <w:rsid w:val="001D265E"/>
    <w:rsid w:val="001D2725"/>
    <w:rsid w:val="001D2A5D"/>
    <w:rsid w:val="001D2D53"/>
    <w:rsid w:val="001D481E"/>
    <w:rsid w:val="001D4E41"/>
    <w:rsid w:val="001D5181"/>
    <w:rsid w:val="001D5271"/>
    <w:rsid w:val="001D7288"/>
    <w:rsid w:val="001D7762"/>
    <w:rsid w:val="001E09FA"/>
    <w:rsid w:val="001E16F8"/>
    <w:rsid w:val="001E2B63"/>
    <w:rsid w:val="001E6780"/>
    <w:rsid w:val="001F05BF"/>
    <w:rsid w:val="001F3773"/>
    <w:rsid w:val="001F4564"/>
    <w:rsid w:val="001F7703"/>
    <w:rsid w:val="00200A80"/>
    <w:rsid w:val="00203540"/>
    <w:rsid w:val="00211F76"/>
    <w:rsid w:val="0021368F"/>
    <w:rsid w:val="0021612B"/>
    <w:rsid w:val="0022083A"/>
    <w:rsid w:val="00221D07"/>
    <w:rsid w:val="00226879"/>
    <w:rsid w:val="00227014"/>
    <w:rsid w:val="00227C14"/>
    <w:rsid w:val="00227E4A"/>
    <w:rsid w:val="002334A9"/>
    <w:rsid w:val="00234DF5"/>
    <w:rsid w:val="00235777"/>
    <w:rsid w:val="00236554"/>
    <w:rsid w:val="00236D78"/>
    <w:rsid w:val="0024060E"/>
    <w:rsid w:val="002419A9"/>
    <w:rsid w:val="00241A4E"/>
    <w:rsid w:val="0024220D"/>
    <w:rsid w:val="00242DF3"/>
    <w:rsid w:val="0024423D"/>
    <w:rsid w:val="0024582E"/>
    <w:rsid w:val="00245C56"/>
    <w:rsid w:val="00245D88"/>
    <w:rsid w:val="00251BA8"/>
    <w:rsid w:val="002547EF"/>
    <w:rsid w:val="00256D65"/>
    <w:rsid w:val="0026368B"/>
    <w:rsid w:val="00266C4D"/>
    <w:rsid w:val="00266D85"/>
    <w:rsid w:val="00267AA0"/>
    <w:rsid w:val="00271F00"/>
    <w:rsid w:val="00273077"/>
    <w:rsid w:val="00273A80"/>
    <w:rsid w:val="00274596"/>
    <w:rsid w:val="00280ABA"/>
    <w:rsid w:val="002818B9"/>
    <w:rsid w:val="00283465"/>
    <w:rsid w:val="00284A6F"/>
    <w:rsid w:val="00287540"/>
    <w:rsid w:val="00290D75"/>
    <w:rsid w:val="0029204E"/>
    <w:rsid w:val="0029631C"/>
    <w:rsid w:val="002A0194"/>
    <w:rsid w:val="002A2A1A"/>
    <w:rsid w:val="002A3314"/>
    <w:rsid w:val="002A53A8"/>
    <w:rsid w:val="002A5F8B"/>
    <w:rsid w:val="002A6097"/>
    <w:rsid w:val="002A7E32"/>
    <w:rsid w:val="002A7F6C"/>
    <w:rsid w:val="002B14DF"/>
    <w:rsid w:val="002B34A0"/>
    <w:rsid w:val="002B43AF"/>
    <w:rsid w:val="002B56B6"/>
    <w:rsid w:val="002B6044"/>
    <w:rsid w:val="002B6F2B"/>
    <w:rsid w:val="002B7646"/>
    <w:rsid w:val="002C0989"/>
    <w:rsid w:val="002C1DDD"/>
    <w:rsid w:val="002C2E14"/>
    <w:rsid w:val="002C3B62"/>
    <w:rsid w:val="002C47DB"/>
    <w:rsid w:val="002C4CE9"/>
    <w:rsid w:val="002D1093"/>
    <w:rsid w:val="002D462D"/>
    <w:rsid w:val="002D504E"/>
    <w:rsid w:val="002D6809"/>
    <w:rsid w:val="002E0CB2"/>
    <w:rsid w:val="002E2053"/>
    <w:rsid w:val="002E2E67"/>
    <w:rsid w:val="002E31C3"/>
    <w:rsid w:val="002E54B9"/>
    <w:rsid w:val="002F538A"/>
    <w:rsid w:val="002F6488"/>
    <w:rsid w:val="002F6B33"/>
    <w:rsid w:val="0030079D"/>
    <w:rsid w:val="003046E6"/>
    <w:rsid w:val="00304965"/>
    <w:rsid w:val="00315937"/>
    <w:rsid w:val="00316C32"/>
    <w:rsid w:val="00320839"/>
    <w:rsid w:val="00320E84"/>
    <w:rsid w:val="003213F9"/>
    <w:rsid w:val="00321EDA"/>
    <w:rsid w:val="00323DBF"/>
    <w:rsid w:val="00325100"/>
    <w:rsid w:val="0032559A"/>
    <w:rsid w:val="00325B10"/>
    <w:rsid w:val="00326D85"/>
    <w:rsid w:val="00326F85"/>
    <w:rsid w:val="003309A8"/>
    <w:rsid w:val="00330DA6"/>
    <w:rsid w:val="00332B12"/>
    <w:rsid w:val="00337CC8"/>
    <w:rsid w:val="0034023F"/>
    <w:rsid w:val="003402A8"/>
    <w:rsid w:val="00343829"/>
    <w:rsid w:val="003456ED"/>
    <w:rsid w:val="00346657"/>
    <w:rsid w:val="00351B07"/>
    <w:rsid w:val="00352CF2"/>
    <w:rsid w:val="00355179"/>
    <w:rsid w:val="003562C5"/>
    <w:rsid w:val="00357D4F"/>
    <w:rsid w:val="00362480"/>
    <w:rsid w:val="00364841"/>
    <w:rsid w:val="00364D39"/>
    <w:rsid w:val="0036639C"/>
    <w:rsid w:val="00371B29"/>
    <w:rsid w:val="00372495"/>
    <w:rsid w:val="0037656B"/>
    <w:rsid w:val="00381E1C"/>
    <w:rsid w:val="0038265D"/>
    <w:rsid w:val="00383BFE"/>
    <w:rsid w:val="00386867"/>
    <w:rsid w:val="00386A48"/>
    <w:rsid w:val="00391769"/>
    <w:rsid w:val="00391C06"/>
    <w:rsid w:val="0039359D"/>
    <w:rsid w:val="00393D32"/>
    <w:rsid w:val="003953E1"/>
    <w:rsid w:val="003956B3"/>
    <w:rsid w:val="0039787C"/>
    <w:rsid w:val="003A0160"/>
    <w:rsid w:val="003A09B5"/>
    <w:rsid w:val="003A1C5A"/>
    <w:rsid w:val="003A3E5B"/>
    <w:rsid w:val="003A4A2F"/>
    <w:rsid w:val="003A68BE"/>
    <w:rsid w:val="003A7B3D"/>
    <w:rsid w:val="003B1805"/>
    <w:rsid w:val="003B3C9D"/>
    <w:rsid w:val="003B43B8"/>
    <w:rsid w:val="003B78E0"/>
    <w:rsid w:val="003C10F8"/>
    <w:rsid w:val="003C2B83"/>
    <w:rsid w:val="003C4969"/>
    <w:rsid w:val="003C69A2"/>
    <w:rsid w:val="003D19B3"/>
    <w:rsid w:val="003D270A"/>
    <w:rsid w:val="003E029E"/>
    <w:rsid w:val="003E3CAC"/>
    <w:rsid w:val="003E41D5"/>
    <w:rsid w:val="003E4572"/>
    <w:rsid w:val="003E46BA"/>
    <w:rsid w:val="003E7D22"/>
    <w:rsid w:val="003F0E5D"/>
    <w:rsid w:val="003F3287"/>
    <w:rsid w:val="003F33E6"/>
    <w:rsid w:val="003F433A"/>
    <w:rsid w:val="003F74C1"/>
    <w:rsid w:val="00401B52"/>
    <w:rsid w:val="00402828"/>
    <w:rsid w:val="00402DDC"/>
    <w:rsid w:val="00405B1A"/>
    <w:rsid w:val="00406C7E"/>
    <w:rsid w:val="00407DCC"/>
    <w:rsid w:val="00410C76"/>
    <w:rsid w:val="00410DDB"/>
    <w:rsid w:val="00411907"/>
    <w:rsid w:val="00413CA8"/>
    <w:rsid w:val="00414829"/>
    <w:rsid w:val="0041567B"/>
    <w:rsid w:val="00416A96"/>
    <w:rsid w:val="00417EE3"/>
    <w:rsid w:val="004207EB"/>
    <w:rsid w:val="004211C2"/>
    <w:rsid w:val="004247E3"/>
    <w:rsid w:val="00425C5E"/>
    <w:rsid w:val="0042749C"/>
    <w:rsid w:val="00431D19"/>
    <w:rsid w:val="00431D38"/>
    <w:rsid w:val="00433C37"/>
    <w:rsid w:val="00437276"/>
    <w:rsid w:val="00440338"/>
    <w:rsid w:val="004406A2"/>
    <w:rsid w:val="00443840"/>
    <w:rsid w:val="004508F9"/>
    <w:rsid w:val="00454139"/>
    <w:rsid w:val="00456B54"/>
    <w:rsid w:val="00460998"/>
    <w:rsid w:val="00463FBE"/>
    <w:rsid w:val="00464643"/>
    <w:rsid w:val="00472BE4"/>
    <w:rsid w:val="004731E7"/>
    <w:rsid w:val="00473C8F"/>
    <w:rsid w:val="004750A6"/>
    <w:rsid w:val="00477683"/>
    <w:rsid w:val="004819BF"/>
    <w:rsid w:val="004846CB"/>
    <w:rsid w:val="00486793"/>
    <w:rsid w:val="00490A10"/>
    <w:rsid w:val="00490A76"/>
    <w:rsid w:val="00496C72"/>
    <w:rsid w:val="004A2037"/>
    <w:rsid w:val="004A5185"/>
    <w:rsid w:val="004B0717"/>
    <w:rsid w:val="004B4B52"/>
    <w:rsid w:val="004B6E3F"/>
    <w:rsid w:val="004B7652"/>
    <w:rsid w:val="004C0BD4"/>
    <w:rsid w:val="004C0EAB"/>
    <w:rsid w:val="004C2CE7"/>
    <w:rsid w:val="004C5A5B"/>
    <w:rsid w:val="004D3FBF"/>
    <w:rsid w:val="004D55EC"/>
    <w:rsid w:val="004E2FE1"/>
    <w:rsid w:val="004E31BA"/>
    <w:rsid w:val="004E43F6"/>
    <w:rsid w:val="004E501A"/>
    <w:rsid w:val="004F0232"/>
    <w:rsid w:val="004F4F98"/>
    <w:rsid w:val="004F69F6"/>
    <w:rsid w:val="004F751B"/>
    <w:rsid w:val="004F79AC"/>
    <w:rsid w:val="004F7CA7"/>
    <w:rsid w:val="00501728"/>
    <w:rsid w:val="005017CF"/>
    <w:rsid w:val="00501B15"/>
    <w:rsid w:val="00504C8C"/>
    <w:rsid w:val="005112FF"/>
    <w:rsid w:val="00511B7A"/>
    <w:rsid w:val="00513B86"/>
    <w:rsid w:val="005207D8"/>
    <w:rsid w:val="00520965"/>
    <w:rsid w:val="00526CAB"/>
    <w:rsid w:val="00527B3D"/>
    <w:rsid w:val="0053038B"/>
    <w:rsid w:val="00532991"/>
    <w:rsid w:val="00533525"/>
    <w:rsid w:val="005342CA"/>
    <w:rsid w:val="0053464E"/>
    <w:rsid w:val="00536132"/>
    <w:rsid w:val="00541944"/>
    <w:rsid w:val="00541FA2"/>
    <w:rsid w:val="0054272D"/>
    <w:rsid w:val="00550589"/>
    <w:rsid w:val="00552DC1"/>
    <w:rsid w:val="00554F09"/>
    <w:rsid w:val="005578BE"/>
    <w:rsid w:val="00562917"/>
    <w:rsid w:val="0056410A"/>
    <w:rsid w:val="005658CC"/>
    <w:rsid w:val="005664C3"/>
    <w:rsid w:val="00566D98"/>
    <w:rsid w:val="005743D1"/>
    <w:rsid w:val="005747A6"/>
    <w:rsid w:val="0057615C"/>
    <w:rsid w:val="0058366D"/>
    <w:rsid w:val="00586228"/>
    <w:rsid w:val="00590661"/>
    <w:rsid w:val="00590BD3"/>
    <w:rsid w:val="005916AF"/>
    <w:rsid w:val="00592421"/>
    <w:rsid w:val="00593BE1"/>
    <w:rsid w:val="00595BF2"/>
    <w:rsid w:val="005A13F2"/>
    <w:rsid w:val="005A1D97"/>
    <w:rsid w:val="005A202E"/>
    <w:rsid w:val="005A2183"/>
    <w:rsid w:val="005A31A2"/>
    <w:rsid w:val="005A4B73"/>
    <w:rsid w:val="005A500D"/>
    <w:rsid w:val="005A58F3"/>
    <w:rsid w:val="005A724F"/>
    <w:rsid w:val="005B4ECE"/>
    <w:rsid w:val="005B6AF4"/>
    <w:rsid w:val="005B7A73"/>
    <w:rsid w:val="005B7ADA"/>
    <w:rsid w:val="005C04CB"/>
    <w:rsid w:val="005C2FA0"/>
    <w:rsid w:val="005C3A3A"/>
    <w:rsid w:val="005C5770"/>
    <w:rsid w:val="005C6019"/>
    <w:rsid w:val="005C752F"/>
    <w:rsid w:val="005D0641"/>
    <w:rsid w:val="005D16AD"/>
    <w:rsid w:val="005D2399"/>
    <w:rsid w:val="005D4AAC"/>
    <w:rsid w:val="005D72E1"/>
    <w:rsid w:val="005D7B08"/>
    <w:rsid w:val="005E18C1"/>
    <w:rsid w:val="005E22B5"/>
    <w:rsid w:val="005E64AB"/>
    <w:rsid w:val="005E6743"/>
    <w:rsid w:val="005E6E16"/>
    <w:rsid w:val="005E76FA"/>
    <w:rsid w:val="005F0E7F"/>
    <w:rsid w:val="005F400E"/>
    <w:rsid w:val="005F59EA"/>
    <w:rsid w:val="005F5A51"/>
    <w:rsid w:val="005F7342"/>
    <w:rsid w:val="0060295F"/>
    <w:rsid w:val="006032BF"/>
    <w:rsid w:val="00603A08"/>
    <w:rsid w:val="00604BED"/>
    <w:rsid w:val="0060599D"/>
    <w:rsid w:val="00610A3C"/>
    <w:rsid w:val="00611650"/>
    <w:rsid w:val="00613CFC"/>
    <w:rsid w:val="00613F7B"/>
    <w:rsid w:val="00614557"/>
    <w:rsid w:val="00615CEF"/>
    <w:rsid w:val="00616BE0"/>
    <w:rsid w:val="0061740D"/>
    <w:rsid w:val="00620BAB"/>
    <w:rsid w:val="0062300D"/>
    <w:rsid w:val="00627F48"/>
    <w:rsid w:val="00630C23"/>
    <w:rsid w:val="00631700"/>
    <w:rsid w:val="00631AB6"/>
    <w:rsid w:val="00636C1F"/>
    <w:rsid w:val="0064101F"/>
    <w:rsid w:val="00642D9F"/>
    <w:rsid w:val="00642E69"/>
    <w:rsid w:val="00643846"/>
    <w:rsid w:val="006460AB"/>
    <w:rsid w:val="006504E2"/>
    <w:rsid w:val="00653E74"/>
    <w:rsid w:val="00661947"/>
    <w:rsid w:val="00663FCF"/>
    <w:rsid w:val="006652A2"/>
    <w:rsid w:val="006662BA"/>
    <w:rsid w:val="00667474"/>
    <w:rsid w:val="00667475"/>
    <w:rsid w:val="006700A7"/>
    <w:rsid w:val="00672118"/>
    <w:rsid w:val="00673A4C"/>
    <w:rsid w:val="00673EB8"/>
    <w:rsid w:val="00677778"/>
    <w:rsid w:val="00677D9E"/>
    <w:rsid w:val="00685C9F"/>
    <w:rsid w:val="00685E66"/>
    <w:rsid w:val="00690206"/>
    <w:rsid w:val="00691E6A"/>
    <w:rsid w:val="00692162"/>
    <w:rsid w:val="006937FF"/>
    <w:rsid w:val="006973A7"/>
    <w:rsid w:val="00697666"/>
    <w:rsid w:val="006A0501"/>
    <w:rsid w:val="006A1E27"/>
    <w:rsid w:val="006A48A7"/>
    <w:rsid w:val="006A514F"/>
    <w:rsid w:val="006A6D73"/>
    <w:rsid w:val="006B1E19"/>
    <w:rsid w:val="006B29DC"/>
    <w:rsid w:val="006B4BA1"/>
    <w:rsid w:val="006B5EBE"/>
    <w:rsid w:val="006C1F6B"/>
    <w:rsid w:val="006C391D"/>
    <w:rsid w:val="006C5CF5"/>
    <w:rsid w:val="006C60A1"/>
    <w:rsid w:val="006D6820"/>
    <w:rsid w:val="006F083E"/>
    <w:rsid w:val="006F2F22"/>
    <w:rsid w:val="006F3067"/>
    <w:rsid w:val="006F341B"/>
    <w:rsid w:val="006F48DE"/>
    <w:rsid w:val="006F4A82"/>
    <w:rsid w:val="006F694F"/>
    <w:rsid w:val="006F7756"/>
    <w:rsid w:val="00700B2D"/>
    <w:rsid w:val="007017CE"/>
    <w:rsid w:val="0070373B"/>
    <w:rsid w:val="0070404F"/>
    <w:rsid w:val="007041BF"/>
    <w:rsid w:val="00705593"/>
    <w:rsid w:val="00706636"/>
    <w:rsid w:val="0070767B"/>
    <w:rsid w:val="0071053C"/>
    <w:rsid w:val="007119DF"/>
    <w:rsid w:val="00711DFC"/>
    <w:rsid w:val="00714519"/>
    <w:rsid w:val="007146C2"/>
    <w:rsid w:val="007152F7"/>
    <w:rsid w:val="0072155D"/>
    <w:rsid w:val="007236BA"/>
    <w:rsid w:val="00724FA4"/>
    <w:rsid w:val="00730800"/>
    <w:rsid w:val="007325A9"/>
    <w:rsid w:val="00734957"/>
    <w:rsid w:val="00742051"/>
    <w:rsid w:val="007431F0"/>
    <w:rsid w:val="00744D20"/>
    <w:rsid w:val="00754093"/>
    <w:rsid w:val="007559F7"/>
    <w:rsid w:val="007602AA"/>
    <w:rsid w:val="007602E8"/>
    <w:rsid w:val="007652EF"/>
    <w:rsid w:val="00766370"/>
    <w:rsid w:val="0076743E"/>
    <w:rsid w:val="00770E23"/>
    <w:rsid w:val="00770E48"/>
    <w:rsid w:val="00772BDC"/>
    <w:rsid w:val="00780792"/>
    <w:rsid w:val="007810F5"/>
    <w:rsid w:val="0078130A"/>
    <w:rsid w:val="00781455"/>
    <w:rsid w:val="007817EA"/>
    <w:rsid w:val="00784495"/>
    <w:rsid w:val="0078681D"/>
    <w:rsid w:val="0079027E"/>
    <w:rsid w:val="00793859"/>
    <w:rsid w:val="007944FE"/>
    <w:rsid w:val="00794A8B"/>
    <w:rsid w:val="00796562"/>
    <w:rsid w:val="00796F34"/>
    <w:rsid w:val="007A1066"/>
    <w:rsid w:val="007A2857"/>
    <w:rsid w:val="007A322A"/>
    <w:rsid w:val="007A342B"/>
    <w:rsid w:val="007A43B2"/>
    <w:rsid w:val="007A44B4"/>
    <w:rsid w:val="007A4F51"/>
    <w:rsid w:val="007A5464"/>
    <w:rsid w:val="007A6E80"/>
    <w:rsid w:val="007A7D3D"/>
    <w:rsid w:val="007B225D"/>
    <w:rsid w:val="007B6FCE"/>
    <w:rsid w:val="007B79A2"/>
    <w:rsid w:val="007C0BEF"/>
    <w:rsid w:val="007C174F"/>
    <w:rsid w:val="007C1C64"/>
    <w:rsid w:val="007C5595"/>
    <w:rsid w:val="007D03EA"/>
    <w:rsid w:val="007D1B18"/>
    <w:rsid w:val="007D29A5"/>
    <w:rsid w:val="007D4DDA"/>
    <w:rsid w:val="007E2F27"/>
    <w:rsid w:val="007E314E"/>
    <w:rsid w:val="007E48BC"/>
    <w:rsid w:val="007E528E"/>
    <w:rsid w:val="007E6DCB"/>
    <w:rsid w:val="007E6F16"/>
    <w:rsid w:val="007E79F7"/>
    <w:rsid w:val="007E7DA1"/>
    <w:rsid w:val="007F14BA"/>
    <w:rsid w:val="007F31EA"/>
    <w:rsid w:val="007F3630"/>
    <w:rsid w:val="007F4AC5"/>
    <w:rsid w:val="007F7631"/>
    <w:rsid w:val="00800E58"/>
    <w:rsid w:val="00800FF9"/>
    <w:rsid w:val="00801ACE"/>
    <w:rsid w:val="00806859"/>
    <w:rsid w:val="00807559"/>
    <w:rsid w:val="0080781E"/>
    <w:rsid w:val="0081055A"/>
    <w:rsid w:val="008119BD"/>
    <w:rsid w:val="008128BE"/>
    <w:rsid w:val="00813E92"/>
    <w:rsid w:val="008141A9"/>
    <w:rsid w:val="00816D05"/>
    <w:rsid w:val="00817D2D"/>
    <w:rsid w:val="00826D05"/>
    <w:rsid w:val="00830A72"/>
    <w:rsid w:val="008330A4"/>
    <w:rsid w:val="00833500"/>
    <w:rsid w:val="00833F9B"/>
    <w:rsid w:val="008369CC"/>
    <w:rsid w:val="00836A0B"/>
    <w:rsid w:val="0084184B"/>
    <w:rsid w:val="00844810"/>
    <w:rsid w:val="008450BC"/>
    <w:rsid w:val="00847A93"/>
    <w:rsid w:val="0085334B"/>
    <w:rsid w:val="0086081E"/>
    <w:rsid w:val="00865B0E"/>
    <w:rsid w:val="00867BC2"/>
    <w:rsid w:val="0087004A"/>
    <w:rsid w:val="00870214"/>
    <w:rsid w:val="00870871"/>
    <w:rsid w:val="0087110E"/>
    <w:rsid w:val="00871E73"/>
    <w:rsid w:val="0087291F"/>
    <w:rsid w:val="00874195"/>
    <w:rsid w:val="00875441"/>
    <w:rsid w:val="00885C51"/>
    <w:rsid w:val="00885EB0"/>
    <w:rsid w:val="0088672B"/>
    <w:rsid w:val="008875D5"/>
    <w:rsid w:val="008900DF"/>
    <w:rsid w:val="00891F4B"/>
    <w:rsid w:val="0089264A"/>
    <w:rsid w:val="00892AFE"/>
    <w:rsid w:val="008942E1"/>
    <w:rsid w:val="00896B85"/>
    <w:rsid w:val="008A082A"/>
    <w:rsid w:val="008A22BE"/>
    <w:rsid w:val="008A283C"/>
    <w:rsid w:val="008B00DB"/>
    <w:rsid w:val="008B459F"/>
    <w:rsid w:val="008B4AB3"/>
    <w:rsid w:val="008B5BCC"/>
    <w:rsid w:val="008B6069"/>
    <w:rsid w:val="008C1B36"/>
    <w:rsid w:val="008C52E9"/>
    <w:rsid w:val="008C5816"/>
    <w:rsid w:val="008C7568"/>
    <w:rsid w:val="008D06C6"/>
    <w:rsid w:val="008D06FA"/>
    <w:rsid w:val="008D5EE9"/>
    <w:rsid w:val="008E34D9"/>
    <w:rsid w:val="008E5D03"/>
    <w:rsid w:val="008E6250"/>
    <w:rsid w:val="008E7B9F"/>
    <w:rsid w:val="008F11B3"/>
    <w:rsid w:val="008F1C21"/>
    <w:rsid w:val="008F1F0F"/>
    <w:rsid w:val="008F215E"/>
    <w:rsid w:val="008F4D6D"/>
    <w:rsid w:val="008F7281"/>
    <w:rsid w:val="00900D60"/>
    <w:rsid w:val="00902AF6"/>
    <w:rsid w:val="0090691B"/>
    <w:rsid w:val="00906BDA"/>
    <w:rsid w:val="00906DE9"/>
    <w:rsid w:val="0091211F"/>
    <w:rsid w:val="009167A8"/>
    <w:rsid w:val="00916886"/>
    <w:rsid w:val="00920249"/>
    <w:rsid w:val="00921398"/>
    <w:rsid w:val="00924C80"/>
    <w:rsid w:val="00926912"/>
    <w:rsid w:val="00926DD3"/>
    <w:rsid w:val="00927C6E"/>
    <w:rsid w:val="00931FBB"/>
    <w:rsid w:val="00932F14"/>
    <w:rsid w:val="00934FA3"/>
    <w:rsid w:val="00935D20"/>
    <w:rsid w:val="0094139D"/>
    <w:rsid w:val="009415E5"/>
    <w:rsid w:val="0094241E"/>
    <w:rsid w:val="0094247F"/>
    <w:rsid w:val="00942B15"/>
    <w:rsid w:val="00942D60"/>
    <w:rsid w:val="009449B9"/>
    <w:rsid w:val="009452C7"/>
    <w:rsid w:val="0095126B"/>
    <w:rsid w:val="00954A5E"/>
    <w:rsid w:val="00955C5E"/>
    <w:rsid w:val="0096523B"/>
    <w:rsid w:val="00966EE3"/>
    <w:rsid w:val="009670B5"/>
    <w:rsid w:val="009727D4"/>
    <w:rsid w:val="00972D06"/>
    <w:rsid w:val="00974E14"/>
    <w:rsid w:val="009769F9"/>
    <w:rsid w:val="00977470"/>
    <w:rsid w:val="00984160"/>
    <w:rsid w:val="00985015"/>
    <w:rsid w:val="0098717C"/>
    <w:rsid w:val="00987E8A"/>
    <w:rsid w:val="00987E8B"/>
    <w:rsid w:val="00991783"/>
    <w:rsid w:val="00995132"/>
    <w:rsid w:val="00997A58"/>
    <w:rsid w:val="009A391C"/>
    <w:rsid w:val="009A4B7D"/>
    <w:rsid w:val="009A50F2"/>
    <w:rsid w:val="009A53EC"/>
    <w:rsid w:val="009A70B2"/>
    <w:rsid w:val="009A77E8"/>
    <w:rsid w:val="009B039D"/>
    <w:rsid w:val="009B320A"/>
    <w:rsid w:val="009B3DA0"/>
    <w:rsid w:val="009B499A"/>
    <w:rsid w:val="009B7E30"/>
    <w:rsid w:val="009C555D"/>
    <w:rsid w:val="009D4558"/>
    <w:rsid w:val="009D57D2"/>
    <w:rsid w:val="009D58FC"/>
    <w:rsid w:val="009D7051"/>
    <w:rsid w:val="009E0A61"/>
    <w:rsid w:val="009E0C9D"/>
    <w:rsid w:val="009E211A"/>
    <w:rsid w:val="009E29D7"/>
    <w:rsid w:val="009E29E4"/>
    <w:rsid w:val="009E3010"/>
    <w:rsid w:val="009F007E"/>
    <w:rsid w:val="009F1A44"/>
    <w:rsid w:val="009F2069"/>
    <w:rsid w:val="009F7065"/>
    <w:rsid w:val="00A04533"/>
    <w:rsid w:val="00A048E5"/>
    <w:rsid w:val="00A05C7D"/>
    <w:rsid w:val="00A07470"/>
    <w:rsid w:val="00A1085C"/>
    <w:rsid w:val="00A13B8F"/>
    <w:rsid w:val="00A14414"/>
    <w:rsid w:val="00A17F1F"/>
    <w:rsid w:val="00A2095E"/>
    <w:rsid w:val="00A2121C"/>
    <w:rsid w:val="00A244F7"/>
    <w:rsid w:val="00A31DB1"/>
    <w:rsid w:val="00A324D2"/>
    <w:rsid w:val="00A40721"/>
    <w:rsid w:val="00A4175D"/>
    <w:rsid w:val="00A41E0E"/>
    <w:rsid w:val="00A438F3"/>
    <w:rsid w:val="00A43BFF"/>
    <w:rsid w:val="00A4703F"/>
    <w:rsid w:val="00A50B8E"/>
    <w:rsid w:val="00A50CA6"/>
    <w:rsid w:val="00A53BFB"/>
    <w:rsid w:val="00A54EBA"/>
    <w:rsid w:val="00A56DC7"/>
    <w:rsid w:val="00A572B5"/>
    <w:rsid w:val="00A61855"/>
    <w:rsid w:val="00A67B51"/>
    <w:rsid w:val="00A73BDA"/>
    <w:rsid w:val="00A73ED3"/>
    <w:rsid w:val="00A74B81"/>
    <w:rsid w:val="00A74FD1"/>
    <w:rsid w:val="00A77BFA"/>
    <w:rsid w:val="00A806CF"/>
    <w:rsid w:val="00A81B8C"/>
    <w:rsid w:val="00A82CA3"/>
    <w:rsid w:val="00A82EFF"/>
    <w:rsid w:val="00A83FCF"/>
    <w:rsid w:val="00A84A58"/>
    <w:rsid w:val="00A85076"/>
    <w:rsid w:val="00A906D9"/>
    <w:rsid w:val="00A91730"/>
    <w:rsid w:val="00A91C67"/>
    <w:rsid w:val="00A926C8"/>
    <w:rsid w:val="00A9377E"/>
    <w:rsid w:val="00A94907"/>
    <w:rsid w:val="00AA0B35"/>
    <w:rsid w:val="00AA1582"/>
    <w:rsid w:val="00AA5316"/>
    <w:rsid w:val="00AA55F4"/>
    <w:rsid w:val="00AA5FE8"/>
    <w:rsid w:val="00AB1464"/>
    <w:rsid w:val="00AB34DB"/>
    <w:rsid w:val="00AB5B6A"/>
    <w:rsid w:val="00AC1D25"/>
    <w:rsid w:val="00AD03CE"/>
    <w:rsid w:val="00AD2627"/>
    <w:rsid w:val="00AD3E79"/>
    <w:rsid w:val="00AD672E"/>
    <w:rsid w:val="00AE3507"/>
    <w:rsid w:val="00AE4E4A"/>
    <w:rsid w:val="00AE6DD7"/>
    <w:rsid w:val="00AF06FC"/>
    <w:rsid w:val="00AF1E63"/>
    <w:rsid w:val="00AF314B"/>
    <w:rsid w:val="00AF3391"/>
    <w:rsid w:val="00AF3759"/>
    <w:rsid w:val="00AF387F"/>
    <w:rsid w:val="00AF3C1F"/>
    <w:rsid w:val="00AF5A22"/>
    <w:rsid w:val="00AF6FD2"/>
    <w:rsid w:val="00AF7B74"/>
    <w:rsid w:val="00B00E7F"/>
    <w:rsid w:val="00B0103E"/>
    <w:rsid w:val="00B0450C"/>
    <w:rsid w:val="00B04F45"/>
    <w:rsid w:val="00B06C50"/>
    <w:rsid w:val="00B1209B"/>
    <w:rsid w:val="00B12F1E"/>
    <w:rsid w:val="00B13425"/>
    <w:rsid w:val="00B14E2A"/>
    <w:rsid w:val="00B173DA"/>
    <w:rsid w:val="00B17936"/>
    <w:rsid w:val="00B21DCC"/>
    <w:rsid w:val="00B25A19"/>
    <w:rsid w:val="00B25F37"/>
    <w:rsid w:val="00B327FF"/>
    <w:rsid w:val="00B331DB"/>
    <w:rsid w:val="00B3547B"/>
    <w:rsid w:val="00B361E6"/>
    <w:rsid w:val="00B375F8"/>
    <w:rsid w:val="00B37BF0"/>
    <w:rsid w:val="00B41FAD"/>
    <w:rsid w:val="00B432F7"/>
    <w:rsid w:val="00B44422"/>
    <w:rsid w:val="00B45686"/>
    <w:rsid w:val="00B46EA0"/>
    <w:rsid w:val="00B523ED"/>
    <w:rsid w:val="00B57D5D"/>
    <w:rsid w:val="00B609CF"/>
    <w:rsid w:val="00B664CE"/>
    <w:rsid w:val="00B6724C"/>
    <w:rsid w:val="00B6791C"/>
    <w:rsid w:val="00B7189D"/>
    <w:rsid w:val="00B72258"/>
    <w:rsid w:val="00B731D3"/>
    <w:rsid w:val="00B73BEB"/>
    <w:rsid w:val="00B77FB7"/>
    <w:rsid w:val="00B80A2A"/>
    <w:rsid w:val="00B82C08"/>
    <w:rsid w:val="00B839A3"/>
    <w:rsid w:val="00B860BF"/>
    <w:rsid w:val="00B902BD"/>
    <w:rsid w:val="00B93EAC"/>
    <w:rsid w:val="00B958BB"/>
    <w:rsid w:val="00BA24E2"/>
    <w:rsid w:val="00BA2E70"/>
    <w:rsid w:val="00BA2ECB"/>
    <w:rsid w:val="00BA7EBD"/>
    <w:rsid w:val="00BB155D"/>
    <w:rsid w:val="00BB25BA"/>
    <w:rsid w:val="00BB3A80"/>
    <w:rsid w:val="00BB5227"/>
    <w:rsid w:val="00BC39D3"/>
    <w:rsid w:val="00BC5B14"/>
    <w:rsid w:val="00BD1D3B"/>
    <w:rsid w:val="00BD2A39"/>
    <w:rsid w:val="00BD2E80"/>
    <w:rsid w:val="00BD3299"/>
    <w:rsid w:val="00BD4007"/>
    <w:rsid w:val="00BE11B8"/>
    <w:rsid w:val="00BF0751"/>
    <w:rsid w:val="00BF3ECD"/>
    <w:rsid w:val="00BF4AC7"/>
    <w:rsid w:val="00BF7FF0"/>
    <w:rsid w:val="00C0111A"/>
    <w:rsid w:val="00C01335"/>
    <w:rsid w:val="00C01388"/>
    <w:rsid w:val="00C04755"/>
    <w:rsid w:val="00C04F2F"/>
    <w:rsid w:val="00C04F56"/>
    <w:rsid w:val="00C057F4"/>
    <w:rsid w:val="00C06111"/>
    <w:rsid w:val="00C075FD"/>
    <w:rsid w:val="00C10021"/>
    <w:rsid w:val="00C10B5A"/>
    <w:rsid w:val="00C12502"/>
    <w:rsid w:val="00C13910"/>
    <w:rsid w:val="00C13C73"/>
    <w:rsid w:val="00C156B5"/>
    <w:rsid w:val="00C16736"/>
    <w:rsid w:val="00C20AF1"/>
    <w:rsid w:val="00C230EF"/>
    <w:rsid w:val="00C27961"/>
    <w:rsid w:val="00C34374"/>
    <w:rsid w:val="00C34C4B"/>
    <w:rsid w:val="00C36578"/>
    <w:rsid w:val="00C40AA5"/>
    <w:rsid w:val="00C422AF"/>
    <w:rsid w:val="00C458A1"/>
    <w:rsid w:val="00C46F70"/>
    <w:rsid w:val="00C47217"/>
    <w:rsid w:val="00C476D0"/>
    <w:rsid w:val="00C516E6"/>
    <w:rsid w:val="00C53824"/>
    <w:rsid w:val="00C53B67"/>
    <w:rsid w:val="00C54FD0"/>
    <w:rsid w:val="00C617CF"/>
    <w:rsid w:val="00C61AC1"/>
    <w:rsid w:val="00C62FAA"/>
    <w:rsid w:val="00C65C31"/>
    <w:rsid w:val="00C7026B"/>
    <w:rsid w:val="00C7047F"/>
    <w:rsid w:val="00C72DF9"/>
    <w:rsid w:val="00C73BAA"/>
    <w:rsid w:val="00C74BA1"/>
    <w:rsid w:val="00C74FC2"/>
    <w:rsid w:val="00C753E3"/>
    <w:rsid w:val="00C778B5"/>
    <w:rsid w:val="00C82B4E"/>
    <w:rsid w:val="00C836E3"/>
    <w:rsid w:val="00C84B95"/>
    <w:rsid w:val="00C86577"/>
    <w:rsid w:val="00C86B6B"/>
    <w:rsid w:val="00C87145"/>
    <w:rsid w:val="00C874B3"/>
    <w:rsid w:val="00C92E07"/>
    <w:rsid w:val="00C93287"/>
    <w:rsid w:val="00C93401"/>
    <w:rsid w:val="00C93830"/>
    <w:rsid w:val="00C96868"/>
    <w:rsid w:val="00C97C6E"/>
    <w:rsid w:val="00CA0416"/>
    <w:rsid w:val="00CA0E3E"/>
    <w:rsid w:val="00CA2EAA"/>
    <w:rsid w:val="00CA641D"/>
    <w:rsid w:val="00CB0E30"/>
    <w:rsid w:val="00CC1315"/>
    <w:rsid w:val="00CC4E86"/>
    <w:rsid w:val="00CC51BD"/>
    <w:rsid w:val="00CC560B"/>
    <w:rsid w:val="00CC75E2"/>
    <w:rsid w:val="00CD0135"/>
    <w:rsid w:val="00CD46EB"/>
    <w:rsid w:val="00CD7EBF"/>
    <w:rsid w:val="00CE14AA"/>
    <w:rsid w:val="00CE2EBE"/>
    <w:rsid w:val="00CE4DA1"/>
    <w:rsid w:val="00CE546B"/>
    <w:rsid w:val="00CF0EEE"/>
    <w:rsid w:val="00CF6035"/>
    <w:rsid w:val="00CF7293"/>
    <w:rsid w:val="00CF78BA"/>
    <w:rsid w:val="00CF7DA7"/>
    <w:rsid w:val="00D00853"/>
    <w:rsid w:val="00D0152D"/>
    <w:rsid w:val="00D04249"/>
    <w:rsid w:val="00D056F1"/>
    <w:rsid w:val="00D11171"/>
    <w:rsid w:val="00D16D08"/>
    <w:rsid w:val="00D17C2A"/>
    <w:rsid w:val="00D2084C"/>
    <w:rsid w:val="00D22F3C"/>
    <w:rsid w:val="00D23DB6"/>
    <w:rsid w:val="00D24888"/>
    <w:rsid w:val="00D25B68"/>
    <w:rsid w:val="00D2676D"/>
    <w:rsid w:val="00D3061A"/>
    <w:rsid w:val="00D32796"/>
    <w:rsid w:val="00D334EA"/>
    <w:rsid w:val="00D34C44"/>
    <w:rsid w:val="00D402D9"/>
    <w:rsid w:val="00D42FE4"/>
    <w:rsid w:val="00D43FE6"/>
    <w:rsid w:val="00D4571B"/>
    <w:rsid w:val="00D461F4"/>
    <w:rsid w:val="00D51A95"/>
    <w:rsid w:val="00D60568"/>
    <w:rsid w:val="00D63DDE"/>
    <w:rsid w:val="00D657F8"/>
    <w:rsid w:val="00D70A94"/>
    <w:rsid w:val="00D70C7A"/>
    <w:rsid w:val="00D71E00"/>
    <w:rsid w:val="00D727C5"/>
    <w:rsid w:val="00D72B7D"/>
    <w:rsid w:val="00D75060"/>
    <w:rsid w:val="00D776FE"/>
    <w:rsid w:val="00D81D38"/>
    <w:rsid w:val="00D87CDE"/>
    <w:rsid w:val="00D90C81"/>
    <w:rsid w:val="00D92DD2"/>
    <w:rsid w:val="00D9620E"/>
    <w:rsid w:val="00D96DBC"/>
    <w:rsid w:val="00DA10A8"/>
    <w:rsid w:val="00DA270B"/>
    <w:rsid w:val="00DA3F0D"/>
    <w:rsid w:val="00DA56A8"/>
    <w:rsid w:val="00DA631A"/>
    <w:rsid w:val="00DB1E08"/>
    <w:rsid w:val="00DB2973"/>
    <w:rsid w:val="00DB2B29"/>
    <w:rsid w:val="00DB3D22"/>
    <w:rsid w:val="00DB5DC4"/>
    <w:rsid w:val="00DB74AA"/>
    <w:rsid w:val="00DC1B56"/>
    <w:rsid w:val="00DC2129"/>
    <w:rsid w:val="00DC2890"/>
    <w:rsid w:val="00DC5A33"/>
    <w:rsid w:val="00DC6570"/>
    <w:rsid w:val="00DC73DB"/>
    <w:rsid w:val="00DD00FE"/>
    <w:rsid w:val="00DD3C5E"/>
    <w:rsid w:val="00DE0329"/>
    <w:rsid w:val="00DE2F29"/>
    <w:rsid w:val="00DE678B"/>
    <w:rsid w:val="00DE72DB"/>
    <w:rsid w:val="00DF25C3"/>
    <w:rsid w:val="00DF2FCC"/>
    <w:rsid w:val="00DF3245"/>
    <w:rsid w:val="00DF593A"/>
    <w:rsid w:val="00DF6738"/>
    <w:rsid w:val="00DF718F"/>
    <w:rsid w:val="00DF7AC1"/>
    <w:rsid w:val="00E04062"/>
    <w:rsid w:val="00E04AD5"/>
    <w:rsid w:val="00E04B33"/>
    <w:rsid w:val="00E055BC"/>
    <w:rsid w:val="00E063C6"/>
    <w:rsid w:val="00E066BA"/>
    <w:rsid w:val="00E06E71"/>
    <w:rsid w:val="00E10973"/>
    <w:rsid w:val="00E10A1A"/>
    <w:rsid w:val="00E10CC9"/>
    <w:rsid w:val="00E13FB7"/>
    <w:rsid w:val="00E164CD"/>
    <w:rsid w:val="00E173CB"/>
    <w:rsid w:val="00E17C05"/>
    <w:rsid w:val="00E2003B"/>
    <w:rsid w:val="00E203C2"/>
    <w:rsid w:val="00E20EE5"/>
    <w:rsid w:val="00E23EFD"/>
    <w:rsid w:val="00E24D7D"/>
    <w:rsid w:val="00E25DE8"/>
    <w:rsid w:val="00E27544"/>
    <w:rsid w:val="00E279D8"/>
    <w:rsid w:val="00E319B1"/>
    <w:rsid w:val="00E4022C"/>
    <w:rsid w:val="00E40D64"/>
    <w:rsid w:val="00E40E42"/>
    <w:rsid w:val="00E4225E"/>
    <w:rsid w:val="00E43D84"/>
    <w:rsid w:val="00E4451A"/>
    <w:rsid w:val="00E44E0D"/>
    <w:rsid w:val="00E5492F"/>
    <w:rsid w:val="00E55CC1"/>
    <w:rsid w:val="00E62CEC"/>
    <w:rsid w:val="00E62DEF"/>
    <w:rsid w:val="00E70A86"/>
    <w:rsid w:val="00E74D16"/>
    <w:rsid w:val="00E756BB"/>
    <w:rsid w:val="00E777EC"/>
    <w:rsid w:val="00E80321"/>
    <w:rsid w:val="00E80FCD"/>
    <w:rsid w:val="00E826A9"/>
    <w:rsid w:val="00E851BE"/>
    <w:rsid w:val="00E86C62"/>
    <w:rsid w:val="00E92313"/>
    <w:rsid w:val="00E92707"/>
    <w:rsid w:val="00E92A19"/>
    <w:rsid w:val="00E9421E"/>
    <w:rsid w:val="00E95CA7"/>
    <w:rsid w:val="00EA1144"/>
    <w:rsid w:val="00EA62EB"/>
    <w:rsid w:val="00EA69DD"/>
    <w:rsid w:val="00EA776F"/>
    <w:rsid w:val="00EA7F2F"/>
    <w:rsid w:val="00EB005B"/>
    <w:rsid w:val="00EB18DB"/>
    <w:rsid w:val="00EB57BA"/>
    <w:rsid w:val="00EB6C2D"/>
    <w:rsid w:val="00EC00DE"/>
    <w:rsid w:val="00EC1137"/>
    <w:rsid w:val="00EC30E1"/>
    <w:rsid w:val="00EC4FE1"/>
    <w:rsid w:val="00EC7785"/>
    <w:rsid w:val="00EC7954"/>
    <w:rsid w:val="00EC7F21"/>
    <w:rsid w:val="00ED09B5"/>
    <w:rsid w:val="00ED12B7"/>
    <w:rsid w:val="00ED172A"/>
    <w:rsid w:val="00ED3AF9"/>
    <w:rsid w:val="00ED400F"/>
    <w:rsid w:val="00ED6770"/>
    <w:rsid w:val="00EE05FD"/>
    <w:rsid w:val="00EE2B1F"/>
    <w:rsid w:val="00EE4C3E"/>
    <w:rsid w:val="00EE64C5"/>
    <w:rsid w:val="00EF04F3"/>
    <w:rsid w:val="00EF1B9B"/>
    <w:rsid w:val="00EF4C33"/>
    <w:rsid w:val="00F0007A"/>
    <w:rsid w:val="00F002F4"/>
    <w:rsid w:val="00F0098D"/>
    <w:rsid w:val="00F00EB5"/>
    <w:rsid w:val="00F012C1"/>
    <w:rsid w:val="00F01824"/>
    <w:rsid w:val="00F0443D"/>
    <w:rsid w:val="00F0488A"/>
    <w:rsid w:val="00F1173F"/>
    <w:rsid w:val="00F11F6C"/>
    <w:rsid w:val="00F122C1"/>
    <w:rsid w:val="00F13E2B"/>
    <w:rsid w:val="00F14BEC"/>
    <w:rsid w:val="00F215DC"/>
    <w:rsid w:val="00F225C5"/>
    <w:rsid w:val="00F22F03"/>
    <w:rsid w:val="00F230A5"/>
    <w:rsid w:val="00F25783"/>
    <w:rsid w:val="00F2587A"/>
    <w:rsid w:val="00F320B5"/>
    <w:rsid w:val="00F33E17"/>
    <w:rsid w:val="00F34F13"/>
    <w:rsid w:val="00F3715D"/>
    <w:rsid w:val="00F37BCC"/>
    <w:rsid w:val="00F420C8"/>
    <w:rsid w:val="00F42A4C"/>
    <w:rsid w:val="00F42AEA"/>
    <w:rsid w:val="00F45777"/>
    <w:rsid w:val="00F468B9"/>
    <w:rsid w:val="00F46A22"/>
    <w:rsid w:val="00F50475"/>
    <w:rsid w:val="00F50AF9"/>
    <w:rsid w:val="00F52074"/>
    <w:rsid w:val="00F52D99"/>
    <w:rsid w:val="00F52FA1"/>
    <w:rsid w:val="00F5549B"/>
    <w:rsid w:val="00F554D6"/>
    <w:rsid w:val="00F6045D"/>
    <w:rsid w:val="00F604DE"/>
    <w:rsid w:val="00F61087"/>
    <w:rsid w:val="00F6601C"/>
    <w:rsid w:val="00F668B7"/>
    <w:rsid w:val="00F739F8"/>
    <w:rsid w:val="00F755C0"/>
    <w:rsid w:val="00F7582B"/>
    <w:rsid w:val="00F76C52"/>
    <w:rsid w:val="00F76D20"/>
    <w:rsid w:val="00F81602"/>
    <w:rsid w:val="00F83C19"/>
    <w:rsid w:val="00F840A2"/>
    <w:rsid w:val="00F861F2"/>
    <w:rsid w:val="00F876C5"/>
    <w:rsid w:val="00F879EC"/>
    <w:rsid w:val="00F918A1"/>
    <w:rsid w:val="00F92CB8"/>
    <w:rsid w:val="00F93F7F"/>
    <w:rsid w:val="00F9455E"/>
    <w:rsid w:val="00F94C92"/>
    <w:rsid w:val="00F976D2"/>
    <w:rsid w:val="00FA10FC"/>
    <w:rsid w:val="00FA2229"/>
    <w:rsid w:val="00FA4AFA"/>
    <w:rsid w:val="00FB0A54"/>
    <w:rsid w:val="00FB639F"/>
    <w:rsid w:val="00FB7512"/>
    <w:rsid w:val="00FC2BF2"/>
    <w:rsid w:val="00FC3FCF"/>
    <w:rsid w:val="00FC45AC"/>
    <w:rsid w:val="00FD1C6A"/>
    <w:rsid w:val="00FD6BCF"/>
    <w:rsid w:val="00FD7547"/>
    <w:rsid w:val="00FE0906"/>
    <w:rsid w:val="00FE10EF"/>
    <w:rsid w:val="00FE1DBB"/>
    <w:rsid w:val="00FE3D3D"/>
    <w:rsid w:val="00FE4F08"/>
    <w:rsid w:val="00FE71FD"/>
    <w:rsid w:val="00FF1CE4"/>
    <w:rsid w:val="00FF1D0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485A953"/>
  <w15:docId w15:val="{D85C109A-95FA-4D83-86E0-83D5D49F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230A5"/>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8A283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230A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A283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383BFE"/>
    <w:pPr>
      <w:ind w:left="720"/>
      <w:contextualSpacing/>
    </w:pPr>
  </w:style>
  <w:style w:type="paragraph" w:styleId="CommentSubject">
    <w:name w:val="annotation subject"/>
    <w:basedOn w:val="CommentText"/>
    <w:next w:val="CommentText"/>
    <w:link w:val="CommentSubjectChar"/>
    <w:semiHidden/>
    <w:unhideWhenUsed/>
    <w:rsid w:val="00F42AEA"/>
    <w:rPr>
      <w:b/>
      <w:bCs/>
    </w:rPr>
  </w:style>
  <w:style w:type="character" w:customStyle="1" w:styleId="CommentSubjectChar">
    <w:name w:val="Comment Subject Char"/>
    <w:basedOn w:val="CommentTextChar"/>
    <w:link w:val="CommentSubject"/>
    <w:semiHidden/>
    <w:rsid w:val="00F42AEA"/>
    <w:rPr>
      <w:rFonts w:ascii="Arial" w:hAnsi="Arial"/>
      <w:b/>
      <w:bCs/>
      <w:lang w:eastAsia="en-US" w:bidi="en-US"/>
    </w:rPr>
  </w:style>
  <w:style w:type="paragraph" w:styleId="Caption">
    <w:name w:val="caption"/>
    <w:basedOn w:val="Normal"/>
    <w:next w:val="Normal"/>
    <w:unhideWhenUsed/>
    <w:rsid w:val="00166821"/>
    <w:pPr>
      <w:spacing w:after="200"/>
    </w:pPr>
    <w:rPr>
      <w:i/>
      <w:iCs/>
      <w:color w:val="1F497D" w:themeColor="text2"/>
      <w:sz w:val="18"/>
      <w:szCs w:val="18"/>
    </w:rPr>
  </w:style>
  <w:style w:type="paragraph" w:styleId="ListBullet">
    <w:name w:val="List Bullet"/>
    <w:basedOn w:val="Normal"/>
    <w:unhideWhenUsed/>
    <w:rsid w:val="002334A9"/>
    <w:pPr>
      <w:numPr>
        <w:numId w:val="8"/>
      </w:numPr>
      <w:contextualSpacing/>
    </w:pPr>
  </w:style>
  <w:style w:type="character" w:customStyle="1" w:styleId="FootnoteTextChar">
    <w:name w:val="Footnote Text Char"/>
    <w:aliases w:val="Footnotes Text Char,FSFootnotes Text Char"/>
    <w:basedOn w:val="DefaultParagraphFont"/>
    <w:link w:val="FootnoteText"/>
    <w:uiPriority w:val="5"/>
    <w:rsid w:val="003046E6"/>
    <w:rPr>
      <w:rFonts w:ascii="Arial" w:hAnsi="Arial"/>
      <w:lang w:eastAsia="en-US" w:bidi="en-US"/>
    </w:rPr>
  </w:style>
  <w:style w:type="paragraph" w:customStyle="1" w:styleId="FSTableFigureHeading">
    <w:name w:val="FSTable/Figure Heading"/>
    <w:basedOn w:val="Normal"/>
    <w:uiPriority w:val="7"/>
    <w:qFormat/>
    <w:locked/>
    <w:rsid w:val="003046E6"/>
    <w:pPr>
      <w:widowControl/>
      <w:spacing w:before="120" w:after="120"/>
      <w:ind w:left="1134" w:hanging="1134"/>
    </w:pPr>
    <w:rPr>
      <w:rFonts w:eastAsiaTheme="minorHAnsi" w:cstheme="minorBidi"/>
      <w:b/>
      <w:i/>
      <w:szCs w:val="22"/>
      <w:lang w:bidi="ar-SA"/>
    </w:rPr>
  </w:style>
  <w:style w:type="paragraph" w:customStyle="1" w:styleId="FSBullet">
    <w:name w:val="FS Bullet"/>
    <w:basedOn w:val="Normal"/>
    <w:next w:val="Normal"/>
    <w:link w:val="FSBulletChar"/>
    <w:qFormat/>
    <w:rsid w:val="007E314E"/>
    <w:pPr>
      <w:ind w:left="567" w:hanging="567"/>
    </w:pPr>
    <w:rPr>
      <w:rFonts w:cs="Arial"/>
    </w:rPr>
  </w:style>
  <w:style w:type="character" w:customStyle="1" w:styleId="FSBulletChar">
    <w:name w:val="FS Bullet Char"/>
    <w:basedOn w:val="DefaultParagraphFont"/>
    <w:link w:val="FSBullet"/>
    <w:rsid w:val="007E314E"/>
    <w:rPr>
      <w:rFonts w:ascii="Arial" w:hAnsi="Arial" w:cs="Arial"/>
      <w:sz w:val="22"/>
      <w:szCs w:val="24"/>
      <w:lang w:eastAsia="en-US" w:bidi="en-US"/>
    </w:rPr>
  </w:style>
  <w:style w:type="paragraph" w:styleId="Revision">
    <w:name w:val="Revision"/>
    <w:hidden/>
    <w:uiPriority w:val="99"/>
    <w:semiHidden/>
    <w:rsid w:val="00C86B6B"/>
    <w:rPr>
      <w:rFonts w:ascii="Arial" w:hAnsi="Arial"/>
      <w:sz w:val="22"/>
      <w:szCs w:val="24"/>
      <w:lang w:eastAsia="en-US" w:bidi="en-US"/>
    </w:rPr>
  </w:style>
  <w:style w:type="paragraph" w:customStyle="1" w:styleId="CitaviBibliographyEntry">
    <w:name w:val="Citavi Bibliography Entry"/>
    <w:basedOn w:val="Normal"/>
    <w:link w:val="CitaviBibliographyEntryChar"/>
    <w:rsid w:val="00620BAB"/>
    <w:pPr>
      <w:tabs>
        <w:tab w:val="left" w:pos="340"/>
      </w:tabs>
      <w:ind w:left="340" w:hanging="340"/>
    </w:pPr>
  </w:style>
  <w:style w:type="character" w:customStyle="1" w:styleId="CitaviBibliographyEntryChar">
    <w:name w:val="Citavi Bibliography Entry Char"/>
    <w:basedOn w:val="DefaultParagraphFont"/>
    <w:link w:val="CitaviBibliographyEntry"/>
    <w:rsid w:val="00620BAB"/>
    <w:rPr>
      <w:rFonts w:ascii="Arial" w:hAnsi="Arial"/>
      <w:sz w:val="22"/>
      <w:szCs w:val="24"/>
      <w:lang w:eastAsia="en-US" w:bidi="en-US"/>
    </w:rPr>
  </w:style>
  <w:style w:type="character" w:customStyle="1" w:styleId="FooterChar">
    <w:name w:val="Footer Char"/>
    <w:basedOn w:val="DefaultParagraphFont"/>
    <w:link w:val="Footer"/>
    <w:uiPriority w:val="99"/>
    <w:rsid w:val="005E22B5"/>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944389444">
      <w:bodyDiv w:val="1"/>
      <w:marLeft w:val="0"/>
      <w:marRight w:val="0"/>
      <w:marTop w:val="0"/>
      <w:marBottom w:val="0"/>
      <w:divBdr>
        <w:top w:val="none" w:sz="0" w:space="0" w:color="auto"/>
        <w:left w:val="none" w:sz="0" w:space="0" w:color="auto"/>
        <w:bottom w:val="none" w:sz="0" w:space="0" w:color="auto"/>
        <w:right w:val="none" w:sz="0" w:space="0" w:color="auto"/>
      </w:divBdr>
      <w:divsChild>
        <w:div w:id="46345097">
          <w:marLeft w:val="0"/>
          <w:marRight w:val="0"/>
          <w:marTop w:val="0"/>
          <w:marBottom w:val="0"/>
          <w:divBdr>
            <w:top w:val="none" w:sz="0" w:space="0" w:color="auto"/>
            <w:left w:val="none" w:sz="0" w:space="0" w:color="auto"/>
            <w:bottom w:val="none" w:sz="0" w:space="0" w:color="auto"/>
            <w:right w:val="none" w:sz="0" w:space="0" w:color="auto"/>
          </w:divBdr>
          <w:divsChild>
            <w:div w:id="1415468131">
              <w:marLeft w:val="0"/>
              <w:marRight w:val="0"/>
              <w:marTop w:val="0"/>
              <w:marBottom w:val="0"/>
              <w:divBdr>
                <w:top w:val="none" w:sz="0" w:space="0" w:color="auto"/>
                <w:left w:val="none" w:sz="0" w:space="0" w:color="auto"/>
                <w:bottom w:val="none" w:sz="0" w:space="0" w:color="auto"/>
                <w:right w:val="none" w:sz="0" w:space="0" w:color="auto"/>
              </w:divBdr>
              <w:divsChild>
                <w:div w:id="1289119690">
                  <w:marLeft w:val="0"/>
                  <w:marRight w:val="0"/>
                  <w:marTop w:val="0"/>
                  <w:marBottom w:val="0"/>
                  <w:divBdr>
                    <w:top w:val="none" w:sz="0" w:space="0" w:color="auto"/>
                    <w:left w:val="none" w:sz="0" w:space="0" w:color="auto"/>
                    <w:bottom w:val="none" w:sz="0" w:space="0" w:color="auto"/>
                    <w:right w:val="none" w:sz="0" w:space="0" w:color="auto"/>
                  </w:divBdr>
                  <w:divsChild>
                    <w:div w:id="933051044">
                      <w:marLeft w:val="0"/>
                      <w:marRight w:val="0"/>
                      <w:marTop w:val="0"/>
                      <w:marBottom w:val="0"/>
                      <w:divBdr>
                        <w:top w:val="none" w:sz="0" w:space="0" w:color="auto"/>
                        <w:left w:val="none" w:sz="0" w:space="0" w:color="auto"/>
                        <w:bottom w:val="none" w:sz="0" w:space="0" w:color="auto"/>
                        <w:right w:val="none" w:sz="0" w:space="0" w:color="auto"/>
                      </w:divBdr>
                      <w:divsChild>
                        <w:div w:id="1233394665">
                          <w:marLeft w:val="0"/>
                          <w:marRight w:val="0"/>
                          <w:marTop w:val="0"/>
                          <w:marBottom w:val="0"/>
                          <w:divBdr>
                            <w:top w:val="none" w:sz="0" w:space="0" w:color="auto"/>
                            <w:left w:val="none" w:sz="0" w:space="0" w:color="auto"/>
                            <w:bottom w:val="none" w:sz="0" w:space="0" w:color="auto"/>
                            <w:right w:val="none" w:sz="0" w:space="0" w:color="auto"/>
                          </w:divBdr>
                          <w:divsChild>
                            <w:div w:id="3007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120044">
      <w:bodyDiv w:val="1"/>
      <w:marLeft w:val="0"/>
      <w:marRight w:val="0"/>
      <w:marTop w:val="0"/>
      <w:marBottom w:val="0"/>
      <w:divBdr>
        <w:top w:val="none" w:sz="0" w:space="0" w:color="auto"/>
        <w:left w:val="none" w:sz="0" w:space="0" w:color="auto"/>
        <w:bottom w:val="none" w:sz="0" w:space="0" w:color="auto"/>
        <w:right w:val="none" w:sz="0" w:space="0" w:color="auto"/>
      </w:divBdr>
      <w:divsChild>
        <w:div w:id="1634479709">
          <w:marLeft w:val="0"/>
          <w:marRight w:val="0"/>
          <w:marTop w:val="0"/>
          <w:marBottom w:val="0"/>
          <w:divBdr>
            <w:top w:val="none" w:sz="0" w:space="0" w:color="auto"/>
            <w:left w:val="none" w:sz="0" w:space="0" w:color="auto"/>
            <w:bottom w:val="none" w:sz="0" w:space="0" w:color="auto"/>
            <w:right w:val="none" w:sz="0" w:space="0" w:color="auto"/>
          </w:divBdr>
          <w:divsChild>
            <w:div w:id="186334078">
              <w:marLeft w:val="0"/>
              <w:marRight w:val="0"/>
              <w:marTop w:val="0"/>
              <w:marBottom w:val="0"/>
              <w:divBdr>
                <w:top w:val="none" w:sz="0" w:space="0" w:color="auto"/>
                <w:left w:val="none" w:sz="0" w:space="0" w:color="auto"/>
                <w:bottom w:val="none" w:sz="0" w:space="0" w:color="auto"/>
                <w:right w:val="none" w:sz="0" w:space="0" w:color="auto"/>
              </w:divBdr>
              <w:divsChild>
                <w:div w:id="581377163">
                  <w:marLeft w:val="0"/>
                  <w:marRight w:val="0"/>
                  <w:marTop w:val="182"/>
                  <w:marBottom w:val="182"/>
                  <w:divBdr>
                    <w:top w:val="none" w:sz="0" w:space="0" w:color="auto"/>
                    <w:left w:val="none" w:sz="0" w:space="0" w:color="auto"/>
                    <w:bottom w:val="none" w:sz="0" w:space="0" w:color="auto"/>
                    <w:right w:val="none" w:sz="0" w:space="0" w:color="auto"/>
                  </w:divBdr>
                  <w:divsChild>
                    <w:div w:id="1732456616">
                      <w:marLeft w:val="0"/>
                      <w:marRight w:val="0"/>
                      <w:marTop w:val="0"/>
                      <w:marBottom w:val="0"/>
                      <w:divBdr>
                        <w:top w:val="none" w:sz="0" w:space="0" w:color="auto"/>
                        <w:left w:val="none" w:sz="0" w:space="0" w:color="auto"/>
                        <w:bottom w:val="none" w:sz="0" w:space="0" w:color="auto"/>
                        <w:right w:val="none" w:sz="0" w:space="0" w:color="auto"/>
                      </w:divBdr>
                      <w:divsChild>
                        <w:div w:id="369304518">
                          <w:marLeft w:val="0"/>
                          <w:marRight w:val="0"/>
                          <w:marTop w:val="0"/>
                          <w:marBottom w:val="0"/>
                          <w:divBdr>
                            <w:top w:val="none" w:sz="0" w:space="0" w:color="auto"/>
                            <w:left w:val="none" w:sz="0" w:space="0" w:color="auto"/>
                            <w:bottom w:val="none" w:sz="0" w:space="0" w:color="auto"/>
                            <w:right w:val="none" w:sz="0" w:space="0" w:color="auto"/>
                          </w:divBdr>
                        </w:div>
                        <w:div w:id="468867092">
                          <w:marLeft w:val="0"/>
                          <w:marRight w:val="0"/>
                          <w:marTop w:val="0"/>
                          <w:marBottom w:val="0"/>
                          <w:divBdr>
                            <w:top w:val="none" w:sz="0" w:space="0" w:color="auto"/>
                            <w:left w:val="none" w:sz="0" w:space="0" w:color="auto"/>
                            <w:bottom w:val="none" w:sz="0" w:space="0" w:color="auto"/>
                            <w:right w:val="none" w:sz="0" w:space="0" w:color="auto"/>
                          </w:divBdr>
                        </w:div>
                        <w:div w:id="21187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631015">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75008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fao.org/fao-who-codexalimentarius/sh-proxy/jp/?lnk=1&amp;url=https%253A%252F%252Fworkspace.fao.org%252Fsites%252Fcodex%252FMeetings%252FCX-711-50%252FWD%252Ffa50_12e.pdf" TargetMode="External"/><Relationship Id="rId26"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yperlink" Target="http://www.oiv.int/public/medias/5119/code-2017-en.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admin-www.foodstandards.gov.au/science/exposure/Pages/dietaryexposureandin4438.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oiv.int/public/medias/5119/code-2017-en.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dmin-www.foodstandards.gov.au/science/exposure/documents/Principles%20_%20practices%20exposure%20assessment%202009.pdf" TargetMode="External"/><Relationship Id="rId32" Type="http://schemas.openxmlformats.org/officeDocument/2006/relationships/fontTable" Target="fontTable.xml"/><Relationship Id="rId28" Type="http://schemas.openxmlformats.org/officeDocument/2006/relationships/footer" Target="footer2.xml"/><Relationship Id="rId15" Type="http://schemas.openxmlformats.org/officeDocument/2006/relationships/image" Target="media/image2.png"/><Relationship Id="rId23" Type="http://schemas.openxmlformats.org/officeDocument/2006/relationships/hyperlink" Target="https://admin-www.foodstandards.gov.au/science/riskanalysis/Pages/default.aspx" TargetMode="External"/><Relationship Id="rId10" Type="http://schemas.openxmlformats.org/officeDocument/2006/relationships/settings" Target="settings.xml"/><Relationship Id="rId19" Type="http://schemas.openxmlformats.org/officeDocument/2006/relationships/hyperlink" Target="http://freecases.eu/Doc/CourtAct/5670677" TargetMode="External"/><Relationship Id="rId31" Type="http://schemas.openxmlformats.org/officeDocument/2006/relationships/footer" Target="footer4.xml"/><Relationship Id="rId30" Type="http://schemas.openxmlformats.org/officeDocument/2006/relationships/header" Target="header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accessdata.fda.gov/scripts/fdcc/?set=fcn&amp;id=707&amp;sort=FCN_No&amp;order=ASC&amp;startrow=1&amp;type=basic&amp;search=314"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A1161</Related_x0020_project>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X3VAMR3A5FUY-552-6955</_dlc_DocId>
    <_dlc_DocIdUrl xmlns="ff5de93e-c5e8-4efc-a1bd-21450292fcfe">
      <Url>http://teams/Sections/RAP/_layouts/15/DocIdRedir.aspx?ID=X3VAMR3A5FUY-552-6955</Url>
      <Description>X3VAMR3A5FUY-552-6955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Props1.xml><?xml version="1.0" encoding="utf-8"?>
<ds:datastoreItem xmlns:ds="http://schemas.openxmlformats.org/officeDocument/2006/customXml" ds:itemID="{169AB335-172E-45F0-AE0D-920B3E2A8EEE}"/>
</file>

<file path=customXml/itemProps2.xml><?xml version="1.0" encoding="utf-8"?>
<ds:datastoreItem xmlns:ds="http://schemas.openxmlformats.org/officeDocument/2006/customXml" ds:itemID="{E4830A59-F069-4ABD-8062-205332195F73}"/>
</file>

<file path=customXml/itemProps3.xml><?xml version="1.0" encoding="utf-8"?>
<ds:datastoreItem xmlns:ds="http://schemas.openxmlformats.org/officeDocument/2006/customXml" ds:itemID="{56EA40B3-C8AE-4BB2-BC30-B0B2EF3C47D8}"/>
</file>

<file path=customXml/itemProps4.xml><?xml version="1.0" encoding="utf-8"?>
<ds:datastoreItem xmlns:ds="http://schemas.openxmlformats.org/officeDocument/2006/customXml" ds:itemID="{169AB335-172E-45F0-AE0D-920B3E2A8EEE}">
  <ds:schemaRefs>
    <ds:schemaRef ds:uri="http://schemas.microsoft.com/sharepoint/v3/contenttype/forms"/>
  </ds:schemaRefs>
</ds:datastoreItem>
</file>

<file path=customXml/itemProps5.xml><?xml version="1.0" encoding="utf-8"?>
<ds:datastoreItem xmlns:ds="http://schemas.openxmlformats.org/officeDocument/2006/customXml" ds:itemID="{E4830A59-F069-4ABD-8062-205332195F73}">
  <ds:schemaRefs>
    <ds:schemaRef ds:uri="ec50576e-4a27-4780-a1e1-e59563bc70b8"/>
    <ds:schemaRef ds:uri="http://schemas.microsoft.com/office/2006/metadata/properties"/>
    <ds:schemaRef ds:uri="ff5de93e-c5e8-4efc-a1bd-21450292fcfe"/>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s>
</ds:datastoreItem>
</file>

<file path=customXml/itemProps6.xml><?xml version="1.0" encoding="utf-8"?>
<ds:datastoreItem xmlns:ds="http://schemas.openxmlformats.org/officeDocument/2006/customXml" ds:itemID="{983F5499-EBFF-4F4E-B58F-BE48B82AE0D8}"/>
</file>

<file path=customXml/itemProps7.xml><?xml version="1.0" encoding="utf-8"?>
<ds:datastoreItem xmlns:ds="http://schemas.openxmlformats.org/officeDocument/2006/customXml" ds:itemID="{0A119B8F-F412-4CB7-AE88-2DEDE8B8ECB0}"/>
</file>

<file path=docProps/app.xml><?xml version="1.0" encoding="utf-8"?>
<Properties xmlns="http://schemas.openxmlformats.org/officeDocument/2006/extended-properties" xmlns:vt="http://schemas.openxmlformats.org/officeDocument/2006/docPropsVTypes">
  <Template>Normal</Template>
  <TotalTime>9079</TotalTime>
  <Pages>22</Pages>
  <Words>9071</Words>
  <Characters>51711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60661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Christine Coughlan</cp:lastModifiedBy>
  <cp:revision>102</cp:revision>
  <cp:lastPrinted>2018-09-09T23:34:00Z</cp:lastPrinted>
  <dcterms:created xsi:type="dcterms:W3CDTF">2018-04-30T01:32:00Z</dcterms:created>
  <dcterms:modified xsi:type="dcterms:W3CDTF">2018-09-11T22:21:00Z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4d814329-6b73-4755-b271-5dd938697c45</vt:lpwstr>
  </property>
  <property fmtid="{D5CDD505-2E9C-101B-9397-08002B2CF9AE}" pid="3" name="bjSaver">
    <vt:lpwstr>F7CJ7+j1H4mVV8c3pro2WrI4n/XQdguU</vt:lpwstr>
  </property>
  <property fmtid="{D5CDD505-2E9C-101B-9397-08002B2CF9AE}" pid="4" name="ContentTypeId">
    <vt:lpwstr>0x010100CB2FFA9FD6109347A9495CD5860AFAE6</vt:lpwstr>
  </property>
  <property fmtid="{D5CDD505-2E9C-101B-9397-08002B2CF9AE}" pid="5" name="_dlc_DocIdItemGuid">
    <vt:lpwstr>34e77b86-4c34-4a15-a20b-19a7a66db4e1</vt:lpwstr>
  </property>
  <property fmtid="{D5CDD505-2E9C-101B-9397-08002B2CF9AE}" pid="6" name="DisposalClass">
    <vt:lpwstr/>
  </property>
  <property fmtid="{D5CDD505-2E9C-101B-9397-08002B2CF9AE}" pid="7" name="BCS_">
    <vt:lpwstr>40;#FOOD STANDARDS:Evaluation|43bd8487-b9f6-4055-946c-a118d364275d</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uid="a68a5297-83bb-4ba8-a7cd-4b62d6981a77" value="" /&gt;&lt;/sisl&gt;</vt:lpwstr>
  </property>
  <property fmtid="{D5CDD505-2E9C-101B-9397-08002B2CF9AE}" pid="10" name="bjDocumentSecurityLabel">
    <vt:lpwstr>NO SECURITY CLASSIFICATION REQUIRED</vt:lpwstr>
  </property>
  <property fmtid="{D5CDD505-2E9C-101B-9397-08002B2CF9AE}" pid="11" name="bjFooterFirstPageDocProperty">
    <vt:lpwstr>_x000d_
UNCLASSIFIED </vt:lpwstr>
  </property>
  <property fmtid="{D5CDD505-2E9C-101B-9397-08002B2CF9AE}" pid="12" name="bjFooterEvenPageDocProperty">
    <vt:lpwstr>_x000d_
UNCLASSIFIED </vt:lpwstr>
  </property>
  <property fmtid="{D5CDD505-2E9C-101B-9397-08002B2CF9AE}" pid="13" name="bjFooterBothDocProperty">
    <vt:lpwstr>_x000d_
UNCLASSIFIED </vt:lpwstr>
  </property>
  <property fmtid="{D5CDD505-2E9C-101B-9397-08002B2CF9AE}" pid="14" name="bjHeaderBothDocProperty">
    <vt:lpwstr>UNCLASSIFIED_x000d_
 </vt:lpwstr>
  </property>
  <property fmtid="{D5CDD505-2E9C-101B-9397-08002B2CF9AE}" pid="15" name="bjHeaderEvenPageDocProperty">
    <vt:lpwstr>UNCLASSIFIED_x000d_
 </vt:lpwstr>
  </property>
  <property fmtid="{D5CDD505-2E9C-101B-9397-08002B2CF9AE}" pid="16" name="bjHeaderFirstPageDocProperty">
    <vt:lpwstr>UNCLASSIFIED_x000d_
 </vt:lpwstr>
  </property>
</Properties>
</file>